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F6B70D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A17987">
        <w:rPr>
          <w:bCs/>
          <w:noProof w:val="0"/>
          <w:sz w:val="24"/>
          <w:szCs w:val="24"/>
        </w:rPr>
        <w:t>1</w:t>
      </w:r>
      <w:r w:rsidR="005635A1">
        <w:rPr>
          <w:bCs/>
          <w:noProof w:val="0"/>
          <w:sz w:val="24"/>
          <w:szCs w:val="24"/>
        </w:rPr>
        <w:t>1</w:t>
      </w:r>
      <w:r w:rsidR="00A17987">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6270B8">
        <w:rPr>
          <w:bCs/>
          <w:noProof w:val="0"/>
          <w:sz w:val="24"/>
          <w:szCs w:val="24"/>
        </w:rPr>
        <w:t>200</w:t>
      </w:r>
      <w:r w:rsidR="007A08B2">
        <w:rPr>
          <w:bCs/>
          <w:noProof w:val="0"/>
          <w:sz w:val="24"/>
          <w:szCs w:val="24"/>
        </w:rPr>
        <w:t>7364</w:t>
      </w:r>
    </w:p>
    <w:p w14:paraId="11776FA6" w14:textId="2BBC0C7B"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5635A1">
        <w:rPr>
          <w:rFonts w:eastAsia="SimSun"/>
          <w:bCs/>
          <w:sz w:val="24"/>
          <w:szCs w:val="24"/>
          <w:lang w:eastAsia="zh-CN"/>
        </w:rPr>
        <w:t>17 - 28</w:t>
      </w:r>
      <w:r w:rsidR="006574C0" w:rsidRPr="006574C0">
        <w:rPr>
          <w:rFonts w:eastAsia="SimSun"/>
          <w:bCs/>
          <w:sz w:val="24"/>
          <w:szCs w:val="24"/>
          <w:lang w:eastAsia="zh-CN"/>
        </w:rPr>
        <w:t xml:space="preserve"> </w:t>
      </w:r>
      <w:r w:rsidR="005635A1">
        <w:rPr>
          <w:rFonts w:eastAsia="SimSun"/>
          <w:bCs/>
          <w:sz w:val="24"/>
          <w:szCs w:val="24"/>
          <w:lang w:eastAsia="zh-CN"/>
        </w:rPr>
        <w:t>August</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5DF6E33E" w14:textId="2A999623" w:rsidR="00C36B95" w:rsidRDefault="00A209D6" w:rsidP="00C36B95">
      <w:pPr>
        <w:pStyle w:val="CRCoverPage"/>
        <w:tabs>
          <w:tab w:val="left" w:pos="1985"/>
        </w:tabs>
        <w:rPr>
          <w:rFonts w:cs="Arial"/>
          <w:b/>
          <w:bCs/>
          <w:sz w:val="24"/>
        </w:rPr>
      </w:pPr>
      <w:r w:rsidRPr="00B266B0">
        <w:rPr>
          <w:rFonts w:cs="Arial"/>
          <w:b/>
          <w:bCs/>
          <w:sz w:val="24"/>
        </w:rPr>
        <w:t>Agenda item:</w:t>
      </w:r>
      <w:r>
        <w:rPr>
          <w:rFonts w:cs="Arial"/>
          <w:b/>
          <w:bCs/>
          <w:sz w:val="24"/>
        </w:rPr>
        <w:tab/>
      </w:r>
      <w:r w:rsidR="00976374">
        <w:rPr>
          <w:rFonts w:cs="Arial"/>
          <w:b/>
          <w:bCs/>
          <w:sz w:val="24"/>
        </w:rPr>
        <w:t>8.2.3</w:t>
      </w:r>
      <w:r w:rsidR="00976374" w:rsidRPr="00C36B95">
        <w:rPr>
          <w:rFonts w:cs="Arial"/>
          <w:b/>
          <w:bCs/>
          <w:sz w:val="24"/>
        </w:rPr>
        <w:t xml:space="preserve"> </w:t>
      </w:r>
    </w:p>
    <w:p w14:paraId="73188B46" w14:textId="161C7D12" w:rsidR="00A209D6" w:rsidRPr="00B266B0" w:rsidRDefault="00A209D6" w:rsidP="00C36B95">
      <w:pPr>
        <w:pStyle w:val="CRCoverPage"/>
        <w:tabs>
          <w:tab w:val="left" w:pos="1985"/>
        </w:tabs>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0FA3EF00" w14:textId="61217DD3" w:rsidR="00A209D6" w:rsidRDefault="00A209D6" w:rsidP="007A08B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08B2" w:rsidRPr="007A08B2">
        <w:rPr>
          <w:rFonts w:ascii="Arial" w:hAnsi="Arial" w:cs="Arial"/>
          <w:b/>
          <w:bCs/>
          <w:sz w:val="24"/>
        </w:rPr>
        <w:t>On the scope of Rel-17 CPAC</w:t>
      </w:r>
    </w:p>
    <w:p w14:paraId="1F147C23" w14:textId="4DBDBAD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76374" w:rsidRPr="00976374">
        <w:rPr>
          <w:rFonts w:ascii="Arial" w:hAnsi="Arial" w:cs="Arial"/>
          <w:b/>
          <w:bCs/>
          <w:sz w:val="24"/>
        </w:rPr>
        <w:t>LTE_NR_DC_enh2-Core</w:t>
      </w:r>
      <w:r w:rsidR="00976374" w:rsidRPr="00976374" w:rsidDel="00976374">
        <w:rPr>
          <w:rFonts w:ascii="Arial" w:hAnsi="Arial" w:cs="Arial"/>
          <w:b/>
          <w:bCs/>
          <w:sz w:val="24"/>
        </w:rPr>
        <w:t xml:space="preserve"> </w:t>
      </w:r>
      <w:r>
        <w:rPr>
          <w:rFonts w:ascii="Arial" w:hAnsi="Arial" w:cs="Arial"/>
          <w:b/>
          <w:bCs/>
          <w:sz w:val="24"/>
        </w:rPr>
        <w:t>- Rel</w:t>
      </w:r>
      <w:r w:rsidR="007A08B2">
        <w:rPr>
          <w:rFonts w:ascii="Arial" w:hAnsi="Arial" w:cs="Arial"/>
          <w:b/>
          <w:bCs/>
          <w:sz w:val="24"/>
        </w:rPr>
        <w:t>-</w:t>
      </w:r>
      <w:r w:rsidR="00976374">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bookmarkStart w:id="0" w:name="_GoBack"/>
      <w:bookmarkEnd w:id="0"/>
      <w:r w:rsidRPr="006E13D1">
        <w:t>1</w:t>
      </w:r>
      <w:r w:rsidRPr="006E13D1">
        <w:tab/>
      </w:r>
      <w:r>
        <w:t>Introduction</w:t>
      </w:r>
    </w:p>
    <w:p w14:paraId="5776C3D1" w14:textId="552260E3" w:rsidR="006F3498" w:rsidRDefault="008F5842" w:rsidP="007B7999">
      <w:r>
        <w:t xml:space="preserve">During Rel-16 </w:t>
      </w:r>
      <w:proofErr w:type="spellStart"/>
      <w:r>
        <w:t>MobEnh</w:t>
      </w:r>
      <w:proofErr w:type="spellEnd"/>
      <w:r>
        <w:t xml:space="preserve"> WI, a new feature was standardized, i.e. </w:t>
      </w:r>
      <w:r w:rsidR="00C20967">
        <w:t>C</w:t>
      </w:r>
      <w:r>
        <w:t xml:space="preserve">onditional </w:t>
      </w:r>
      <w:proofErr w:type="spellStart"/>
      <w:r>
        <w:t>PSCell</w:t>
      </w:r>
      <w:proofErr w:type="spellEnd"/>
      <w:r>
        <w:t xml:space="preserve"> Chang</w:t>
      </w:r>
      <w:r w:rsidR="00C20967">
        <w:t>e (CPC)</w:t>
      </w:r>
      <w:r>
        <w:t xml:space="preserve"> for intra-SN </w:t>
      </w:r>
      <w:r w:rsidR="00C20967">
        <w:t xml:space="preserve">case. Neither Conditional </w:t>
      </w:r>
      <w:proofErr w:type="spellStart"/>
      <w:r w:rsidR="00C20967">
        <w:t>PSCell</w:t>
      </w:r>
      <w:proofErr w:type="spellEnd"/>
      <w:r w:rsidR="00C20967">
        <w:t xml:space="preserve"> Addition (CPA), nor other CPC cases were addressed in</w:t>
      </w:r>
      <w:r>
        <w:t xml:space="preserve"> Rel-16</w:t>
      </w:r>
      <w:r w:rsidR="00CF6E0A">
        <w:t>, in scenarios involving MN</w:t>
      </w:r>
      <w:r w:rsidR="00C20967">
        <w:t xml:space="preserve">. </w:t>
      </w:r>
      <w:r>
        <w:t>Now, in Rel-17</w:t>
      </w:r>
      <w:r w:rsidR="00C20967">
        <w:t>,</w:t>
      </w:r>
      <w:r>
        <w:t xml:space="preserve"> a new work item i.e. </w:t>
      </w:r>
      <w:r w:rsidR="006F3498">
        <w:t>MR-DC Rel-17 WI (</w:t>
      </w:r>
      <w:hyperlink r:id="rId13" w:history="1">
        <w:r w:rsidR="006F3498" w:rsidRPr="006F3498">
          <w:rPr>
            <w:rStyle w:val="Hyperlink"/>
          </w:rPr>
          <w:t>RP-193249</w:t>
        </w:r>
      </w:hyperlink>
      <w:r w:rsidR="006F3498">
        <w:t>)</w:t>
      </w:r>
      <w:r>
        <w:t xml:space="preserve"> has one </w:t>
      </w:r>
      <w:r w:rsidR="00C20967">
        <w:t xml:space="preserve">of the </w:t>
      </w:r>
      <w:r>
        <w:t>objective</w:t>
      </w:r>
      <w:r w:rsidR="00C20967">
        <w:t>s defined as follows:</w:t>
      </w:r>
    </w:p>
    <w:tbl>
      <w:tblPr>
        <w:tblStyle w:val="TableGrid"/>
        <w:tblW w:w="0" w:type="auto"/>
        <w:tblLook w:val="04A0" w:firstRow="1" w:lastRow="0" w:firstColumn="1" w:lastColumn="0" w:noHBand="0" w:noVBand="1"/>
      </w:tblPr>
      <w:tblGrid>
        <w:gridCol w:w="9631"/>
      </w:tblGrid>
      <w:tr w:rsidR="008F5842" w14:paraId="78691200" w14:textId="77777777" w:rsidTr="008F5842">
        <w:tc>
          <w:tcPr>
            <w:tcW w:w="9631" w:type="dxa"/>
          </w:tcPr>
          <w:p w14:paraId="6640ADF3" w14:textId="77777777" w:rsidR="008F5842" w:rsidRDefault="008F5842" w:rsidP="008F5842">
            <w:pPr>
              <w:numPr>
                <w:ilvl w:val="0"/>
                <w:numId w:val="27"/>
              </w:numPr>
              <w:overflowPunct w:val="0"/>
              <w:autoSpaceDE w:val="0"/>
              <w:autoSpaceDN w:val="0"/>
              <w:adjustRightInd w:val="0"/>
              <w:spacing w:after="0"/>
              <w:jc w:val="both"/>
              <w:textAlignment w:val="baseline"/>
              <w:rPr>
                <w:bCs/>
                <w:lang w:val="en-US"/>
              </w:rPr>
            </w:pPr>
            <w:r>
              <w:rPr>
                <w:bCs/>
                <w:lang w:val="en-US"/>
              </w:rPr>
              <w:t xml:space="preserve">Support of conditional </w:t>
            </w:r>
            <w:proofErr w:type="spellStart"/>
            <w:r>
              <w:rPr>
                <w:bCs/>
                <w:lang w:val="en-US"/>
              </w:rPr>
              <w:t>PSCell</w:t>
            </w:r>
            <w:proofErr w:type="spellEnd"/>
            <w:r>
              <w:rPr>
                <w:bCs/>
                <w:lang w:val="en-US"/>
              </w:rPr>
              <w:t xml:space="preserve"> change</w:t>
            </w:r>
            <w:r>
              <w:rPr>
                <w:rFonts w:hint="eastAsia"/>
                <w:bCs/>
                <w:lang w:val="en-US"/>
              </w:rPr>
              <w:t>/addition</w:t>
            </w:r>
            <w:r>
              <w:rPr>
                <w:bCs/>
                <w:lang w:val="en-US"/>
              </w:rPr>
              <w:t xml:space="preserve"> [RAN2, RAN3]</w:t>
            </w:r>
          </w:p>
          <w:p w14:paraId="110498DD" w14:textId="121890FE" w:rsidR="008F5842" w:rsidRPr="00E94D9E" w:rsidRDefault="008F5842" w:rsidP="00E94D9E">
            <w:pPr>
              <w:numPr>
                <w:ilvl w:val="0"/>
                <w:numId w:val="28"/>
              </w:numPr>
              <w:overflowPunct w:val="0"/>
              <w:autoSpaceDE w:val="0"/>
              <w:autoSpaceDN w:val="0"/>
              <w:adjustRightInd w:val="0"/>
              <w:spacing w:after="0"/>
              <w:jc w:val="both"/>
              <w:textAlignment w:val="baseline"/>
              <w:rPr>
                <w:lang w:val="en-US"/>
              </w:rPr>
            </w:pPr>
            <w:r w:rsidRPr="00094C68">
              <w:rPr>
                <w:highlight w:val="yellow"/>
                <w:lang w:val="en-US"/>
              </w:rPr>
              <w:t>support scenarios which are not addressed</w:t>
            </w:r>
            <w:r>
              <w:rPr>
                <w:bCs/>
                <w:lang w:val="en-US"/>
              </w:rPr>
              <w:t xml:space="preserve"> in Rel-16 NR mobility WI</w:t>
            </w:r>
          </w:p>
        </w:tc>
      </w:tr>
    </w:tbl>
    <w:p w14:paraId="2141A766" w14:textId="5E68688D" w:rsidR="007B7999" w:rsidRPr="008924EE" w:rsidRDefault="00976374" w:rsidP="007B7999">
      <w:r>
        <w:br/>
      </w:r>
      <w:r w:rsidR="006F3498">
        <w:t xml:space="preserve">This paper discusses </w:t>
      </w:r>
      <w:r w:rsidR="00D12727">
        <w:t xml:space="preserve">first </w:t>
      </w:r>
      <w:r w:rsidR="00C20967">
        <w:t xml:space="preserve">Rel-16 </w:t>
      </w:r>
      <w:r w:rsidR="006F3498">
        <w:t xml:space="preserve">agreements </w:t>
      </w:r>
      <w:r w:rsidR="00D12727">
        <w:t xml:space="preserve">that </w:t>
      </w:r>
      <w:r w:rsidR="006F3498">
        <w:t xml:space="preserve">could be easily </w:t>
      </w:r>
      <w:r w:rsidR="00C20967">
        <w:t>adopted to Rel-17. Furthermore, we provide our view on what other key aspects need to be considered.</w:t>
      </w:r>
      <w:r w:rsidR="006F3498">
        <w:t xml:space="preserve"> </w:t>
      </w:r>
    </w:p>
    <w:p w14:paraId="539060A6" w14:textId="57394C35" w:rsidR="005635A1" w:rsidRDefault="00A209D6" w:rsidP="00A4002A">
      <w:pPr>
        <w:pStyle w:val="Heading1"/>
      </w:pPr>
      <w:r w:rsidRPr="006E13D1">
        <w:t>2</w:t>
      </w:r>
      <w:r w:rsidR="007B7999">
        <w:tab/>
      </w:r>
      <w:r w:rsidR="00694A77">
        <w:t xml:space="preserve">Conditional </w:t>
      </w:r>
      <w:proofErr w:type="spellStart"/>
      <w:r w:rsidR="00694A77">
        <w:t>PSCell</w:t>
      </w:r>
      <w:proofErr w:type="spellEnd"/>
      <w:r w:rsidR="00694A77">
        <w:t xml:space="preserve"> Change/Addition – general framework</w:t>
      </w:r>
    </w:p>
    <w:p w14:paraId="2992E6C0" w14:textId="0DF0AF91" w:rsidR="00694A77" w:rsidRDefault="00694A77" w:rsidP="002C4FB7">
      <w:r>
        <w:t xml:space="preserve">During Rel-16 </w:t>
      </w:r>
      <w:proofErr w:type="spellStart"/>
      <w:r>
        <w:t>MobEnh</w:t>
      </w:r>
      <w:proofErr w:type="spellEnd"/>
      <w:r>
        <w:t xml:space="preserve"> WI, discussions on conditional </w:t>
      </w:r>
      <w:proofErr w:type="spellStart"/>
      <w:r>
        <w:t>PSCell</w:t>
      </w:r>
      <w:proofErr w:type="spellEnd"/>
      <w:r>
        <w:t xml:space="preserve"> change/addition focused on CPC </w:t>
      </w:r>
      <w:r w:rsidR="00637121">
        <w:t xml:space="preserve">in </w:t>
      </w:r>
      <w:r>
        <w:t xml:space="preserve">intra-SN </w:t>
      </w:r>
      <w:r w:rsidR="00637121">
        <w:t>case</w:t>
      </w:r>
      <w:r>
        <w:t xml:space="preserve">. But as general framework, </w:t>
      </w:r>
      <w:r w:rsidR="000D4AA0">
        <w:t xml:space="preserve">many </w:t>
      </w:r>
      <w:r>
        <w:t xml:space="preserve">principles and agreements </w:t>
      </w:r>
      <w:r w:rsidR="000D4AA0">
        <w:t xml:space="preserve">from conditional handover (CHO) </w:t>
      </w:r>
      <w:r>
        <w:t>were re-used and agreed upon.</w:t>
      </w:r>
    </w:p>
    <w:p w14:paraId="639D3410" w14:textId="5315D7AA" w:rsidR="00694A77" w:rsidRDefault="00694A77" w:rsidP="00694A77">
      <w:r>
        <w:t xml:space="preserve">Rel-17 WI scope is quite wide including all other scenarios that were not discussed in Rel-16 as potential candidates for discussion, i.e. </w:t>
      </w:r>
      <w:r w:rsidR="00A1092C" w:rsidRPr="00694A77">
        <w:t>inter-SN change</w:t>
      </w:r>
      <w:r w:rsidR="00A1092C">
        <w:t xml:space="preserve"> (</w:t>
      </w:r>
      <w:r w:rsidRPr="00694A77">
        <w:t>MN initiated SN change</w:t>
      </w:r>
      <w:r>
        <w:t xml:space="preserve">, </w:t>
      </w:r>
      <w:r w:rsidR="00A1092C" w:rsidRPr="00694A77">
        <w:t>SN initiated SN change</w:t>
      </w:r>
      <w:r w:rsidR="00A1092C">
        <w:t>),</w:t>
      </w:r>
      <w:r w:rsidR="00A1092C" w:rsidRPr="00694A77">
        <w:t xml:space="preserve"> </w:t>
      </w:r>
      <w:r w:rsidRPr="00694A77">
        <w:t>MN initiated SN addition</w:t>
      </w:r>
      <w:r w:rsidR="00254CC1">
        <w:t xml:space="preserve"> </w:t>
      </w:r>
      <w:r>
        <w:t>in addition to open item</w:t>
      </w:r>
      <w:r w:rsidR="00254CC1">
        <w:t>s</w:t>
      </w:r>
      <w:r>
        <w:t xml:space="preserve"> related to </w:t>
      </w:r>
      <w:r w:rsidR="00254CC1">
        <w:t xml:space="preserve">partially defined </w:t>
      </w:r>
      <w:r w:rsidR="00057453">
        <w:t>i</w:t>
      </w:r>
      <w:r w:rsidRPr="00694A77">
        <w:t xml:space="preserve">ntra-SN </w:t>
      </w:r>
      <w:proofErr w:type="spellStart"/>
      <w:r w:rsidR="001E7B3C">
        <w:t>PSCell</w:t>
      </w:r>
      <w:proofErr w:type="spellEnd"/>
      <w:r w:rsidR="001E7B3C">
        <w:t xml:space="preserve"> </w:t>
      </w:r>
      <w:r w:rsidRPr="00694A77">
        <w:t>change</w:t>
      </w:r>
      <w:r>
        <w:t>. Therefore</w:t>
      </w:r>
      <w:r w:rsidR="00DB3BF8">
        <w:t>,</w:t>
      </w:r>
      <w:r>
        <w:t xml:space="preserve"> it is important </w:t>
      </w:r>
      <w:r w:rsidR="00E94D9E">
        <w:t>to</w:t>
      </w:r>
      <w:r>
        <w:t xml:space="preserve"> have a look and consider</w:t>
      </w:r>
      <w:r w:rsidR="00E94D9E">
        <w:t>,</w:t>
      </w:r>
      <w:r>
        <w:t xml:space="preserve"> as </w:t>
      </w:r>
      <w:r w:rsidR="00E94D9E">
        <w:t xml:space="preserve">a </w:t>
      </w:r>
      <w:r>
        <w:t>starting point</w:t>
      </w:r>
      <w:r w:rsidR="00E94D9E">
        <w:t>,</w:t>
      </w:r>
      <w:r>
        <w:t xml:space="preserve"> some less controversial </w:t>
      </w:r>
      <w:r w:rsidR="00E94D9E">
        <w:t>Rel-16</w:t>
      </w:r>
      <w:r>
        <w:t xml:space="preserve"> agreements </w:t>
      </w:r>
      <w:r w:rsidR="00E94D9E">
        <w:t>to be adopted</w:t>
      </w:r>
      <w:r>
        <w:t xml:space="preserve"> for Rel-17.</w:t>
      </w:r>
    </w:p>
    <w:p w14:paraId="3606B18B" w14:textId="5627C425" w:rsidR="00694A77" w:rsidRDefault="00DB3BF8" w:rsidP="00694A77">
      <w:r>
        <w:t>Looking back at agreements</w:t>
      </w:r>
      <w:r w:rsidR="007C59FD">
        <w:t>,</w:t>
      </w:r>
      <w:r>
        <w:t xml:space="preserve"> we think that </w:t>
      </w:r>
      <w:r w:rsidR="007C59FD">
        <w:t xml:space="preserve">the </w:t>
      </w:r>
      <w:r>
        <w:t>following</w:t>
      </w:r>
      <w:r w:rsidR="007C59FD">
        <w:t xml:space="preserve"> list summarized in Table 1 for general CPAC framework</w:t>
      </w:r>
      <w:r>
        <w:t xml:space="preserve"> </w:t>
      </w:r>
      <w:r w:rsidR="007C59FD">
        <w:t xml:space="preserve">can be re-used as </w:t>
      </w:r>
      <w:r>
        <w:t>starting point for Rel-17.</w:t>
      </w:r>
      <w:r w:rsidR="00EC5F74">
        <w:t xml:space="preserve"> </w:t>
      </w:r>
      <w:r w:rsidR="007C59FD">
        <w:t xml:space="preserve">The agreements </w:t>
      </w:r>
      <w:r w:rsidR="000912C5">
        <w:t>highligh</w:t>
      </w:r>
      <w:r w:rsidR="000912C5" w:rsidRPr="00526571">
        <w:t>ted</w:t>
      </w:r>
      <w:r w:rsidR="000912C5" w:rsidRPr="000562BB">
        <w:t xml:space="preserve"> in</w:t>
      </w:r>
      <w:r w:rsidR="007C59FD" w:rsidRPr="000562BB">
        <w:t xml:space="preserve"> </w:t>
      </w:r>
      <w:r w:rsidR="007C59FD" w:rsidRPr="00094C68">
        <w:rPr>
          <w:rFonts w:eastAsia="MS Mincho"/>
          <w:color w:val="0070C0"/>
          <w:lang w:eastAsia="en-GB"/>
        </w:rPr>
        <w:t xml:space="preserve">blue </w:t>
      </w:r>
      <w:r w:rsidR="00B7381B" w:rsidRPr="00094C68">
        <w:rPr>
          <w:rFonts w:eastAsia="MS Mincho"/>
          <w:color w:val="0070C0"/>
          <w:lang w:eastAsia="en-GB"/>
        </w:rPr>
        <w:t>text</w:t>
      </w:r>
      <w:r w:rsidR="007C59FD" w:rsidRPr="00094C68">
        <w:rPr>
          <w:color w:val="00B0F0"/>
        </w:rPr>
        <w:t xml:space="preserve"> </w:t>
      </w:r>
      <w:r w:rsidR="007C59FD" w:rsidRPr="00526571">
        <w:t>c</w:t>
      </w:r>
      <w:r w:rsidR="007C59FD">
        <w:t>an be re-considered for discussion in Rel. 17</w:t>
      </w:r>
      <w:r w:rsidR="00DE2BEC">
        <w:t>.</w:t>
      </w:r>
    </w:p>
    <w:p w14:paraId="7CA023DE" w14:textId="6C8B2478" w:rsidR="00EC5F74" w:rsidRPr="00EC5F74" w:rsidRDefault="00EC5F74" w:rsidP="00694A77">
      <w:pPr>
        <w:rPr>
          <w:b/>
          <w:bCs/>
        </w:rPr>
      </w:pPr>
      <w:r>
        <w:tab/>
      </w:r>
      <w:r>
        <w:tab/>
      </w:r>
      <w:r>
        <w:tab/>
      </w:r>
      <w:r>
        <w:tab/>
      </w:r>
      <w:r w:rsidR="008A2907" w:rsidRPr="008A2907">
        <w:rPr>
          <w:b/>
          <w:bCs/>
        </w:rPr>
        <w:t>Table</w:t>
      </w:r>
      <w:r w:rsidR="005449C1">
        <w:rPr>
          <w:b/>
          <w:bCs/>
        </w:rPr>
        <w:t xml:space="preserve"> 1</w:t>
      </w:r>
      <w:r w:rsidR="008A2907" w:rsidRPr="008A2907">
        <w:rPr>
          <w:b/>
          <w:bCs/>
        </w:rPr>
        <w:t xml:space="preserve">: </w:t>
      </w:r>
      <w:r w:rsidRPr="00EC5F74">
        <w:rPr>
          <w:b/>
          <w:bCs/>
        </w:rPr>
        <w:t>General CPAC agreements</w:t>
      </w:r>
    </w:p>
    <w:p w14:paraId="2B6909B0" w14:textId="76516F43" w:rsidR="00DB3BF8" w:rsidRPr="00DB3BF8" w:rsidRDefault="00DB3BF8" w:rsidP="00DB3BF8">
      <w:pPr>
        <w:pStyle w:val="Doc-text2"/>
        <w:pBdr>
          <w:top w:val="single" w:sz="4" w:space="1" w:color="auto"/>
          <w:left w:val="single" w:sz="4" w:space="4" w:color="auto"/>
          <w:bottom w:val="single" w:sz="4" w:space="1" w:color="auto"/>
          <w:right w:val="single" w:sz="4" w:space="4" w:color="auto"/>
        </w:pBdr>
        <w:rPr>
          <w:b/>
          <w:bCs/>
        </w:rPr>
      </w:pPr>
      <w:r w:rsidRPr="00DB3BF8">
        <w:rPr>
          <w:b/>
          <w:bCs/>
        </w:rPr>
        <w:t>RAN#107 Agreements</w:t>
      </w:r>
    </w:p>
    <w:p w14:paraId="77A56B4B" w14:textId="3102EEE7" w:rsidR="00DB3BF8" w:rsidRDefault="00DB3BF8" w:rsidP="00DB3BF8">
      <w:pPr>
        <w:pStyle w:val="Doc-text2"/>
        <w:pBdr>
          <w:top w:val="single" w:sz="4" w:space="1" w:color="auto"/>
          <w:left w:val="single" w:sz="4" w:space="4" w:color="auto"/>
          <w:bottom w:val="single" w:sz="4" w:space="1" w:color="auto"/>
          <w:right w:val="single" w:sz="4" w:space="4" w:color="auto"/>
        </w:pBdr>
      </w:pPr>
      <w:r>
        <w:t xml:space="preserve">1 </w:t>
      </w:r>
      <w:r>
        <w:tab/>
        <w:t xml:space="preserve">Support conditional NR </w:t>
      </w:r>
      <w:proofErr w:type="spellStart"/>
      <w:r>
        <w:t>PSCell</w:t>
      </w:r>
      <w:proofErr w:type="spellEnd"/>
      <w:r>
        <w:t xml:space="preserve"> addition/change and reusing the conditional HO solution being developed. Supported for any architecture option with NR </w:t>
      </w:r>
      <w:proofErr w:type="spellStart"/>
      <w:r>
        <w:t>PSCell</w:t>
      </w:r>
      <w:proofErr w:type="spellEnd"/>
      <w:r>
        <w:t>.</w:t>
      </w:r>
    </w:p>
    <w:p w14:paraId="20120B98" w14:textId="2ACB01C7" w:rsidR="00DB3BF8" w:rsidRDefault="00DB3BF8" w:rsidP="00DB3BF8">
      <w:pPr>
        <w:pStyle w:val="Doc-text2"/>
        <w:pBdr>
          <w:top w:val="single" w:sz="4" w:space="1" w:color="auto"/>
          <w:left w:val="single" w:sz="4" w:space="4" w:color="auto"/>
          <w:bottom w:val="single" w:sz="4" w:space="1" w:color="auto"/>
          <w:right w:val="single" w:sz="4" w:space="4" w:color="auto"/>
        </w:pBdr>
      </w:pPr>
      <w:r>
        <w:t>2</w:t>
      </w:r>
      <w:r>
        <w:tab/>
        <w:t xml:space="preserve">From RAN2 perspective conditional NR </w:t>
      </w:r>
      <w:proofErr w:type="spellStart"/>
      <w:r>
        <w:t>PSCell</w:t>
      </w:r>
      <w:proofErr w:type="spellEnd"/>
      <w:r>
        <w:t xml:space="preserve"> change can be supported for both intra-SN and inter-SN</w:t>
      </w:r>
      <w:r w:rsidR="006F088D">
        <w:t>.</w:t>
      </w:r>
    </w:p>
    <w:p w14:paraId="76F1294A" w14:textId="77777777" w:rsidR="001E2DBE" w:rsidRDefault="001E2DBE" w:rsidP="00DB3BF8">
      <w:pPr>
        <w:pStyle w:val="Doc-text2"/>
        <w:pBdr>
          <w:top w:val="single" w:sz="4" w:space="1" w:color="auto"/>
          <w:left w:val="single" w:sz="4" w:space="4" w:color="auto"/>
          <w:bottom w:val="single" w:sz="4" w:space="1" w:color="auto"/>
          <w:right w:val="single" w:sz="4" w:space="4" w:color="auto"/>
        </w:pBdr>
      </w:pPr>
    </w:p>
    <w:p w14:paraId="378B4A1D" w14:textId="2F95347C" w:rsidR="00DB3BF8" w:rsidRPr="003160FB" w:rsidRDefault="00DB3BF8" w:rsidP="00DB3BF8">
      <w:pPr>
        <w:pStyle w:val="Doc-text2"/>
        <w:pBdr>
          <w:top w:val="single" w:sz="4" w:space="1" w:color="auto"/>
          <w:left w:val="single" w:sz="4" w:space="4" w:color="auto"/>
          <w:bottom w:val="single" w:sz="4" w:space="1" w:color="auto"/>
          <w:right w:val="single" w:sz="4" w:space="4" w:color="auto"/>
        </w:pBdr>
        <w:rPr>
          <w:b/>
        </w:rPr>
      </w:pPr>
      <w:r>
        <w:rPr>
          <w:b/>
        </w:rPr>
        <w:t xml:space="preserve">RAN2#107bis </w:t>
      </w:r>
      <w:r w:rsidRPr="003160FB">
        <w:rPr>
          <w:b/>
        </w:rPr>
        <w:t>Agreements:</w:t>
      </w:r>
    </w:p>
    <w:p w14:paraId="23361609" w14:textId="689507E3" w:rsidR="00DB3BF8" w:rsidRDefault="00DB3BF8" w:rsidP="00DB3BF8">
      <w:pPr>
        <w:pStyle w:val="Doc-text2"/>
        <w:numPr>
          <w:ilvl w:val="0"/>
          <w:numId w:val="40"/>
        </w:numPr>
        <w:pBdr>
          <w:top w:val="single" w:sz="4" w:space="1" w:color="auto"/>
          <w:left w:val="single" w:sz="4" w:space="4" w:color="auto"/>
          <w:bottom w:val="single" w:sz="4" w:space="1" w:color="auto"/>
          <w:right w:val="single" w:sz="4" w:space="4" w:color="auto"/>
        </w:pBdr>
      </w:pPr>
      <w:r>
        <w:t xml:space="preserve">Maintain Rel-15 principle that only one </w:t>
      </w:r>
      <w:proofErr w:type="spellStart"/>
      <w:r>
        <w:t>PScell</w:t>
      </w:r>
      <w:proofErr w:type="spellEnd"/>
      <w:r>
        <w:t xml:space="preserve"> is active at a time even with conditional </w:t>
      </w:r>
      <w:proofErr w:type="spellStart"/>
      <w:r>
        <w:t>PScell</w:t>
      </w:r>
      <w:proofErr w:type="spellEnd"/>
      <w:r>
        <w:t xml:space="preserve"> addition/change.</w:t>
      </w:r>
    </w:p>
    <w:p w14:paraId="0589F2FD" w14:textId="437F500A" w:rsidR="00DB3BF8" w:rsidRDefault="00DB3BF8" w:rsidP="00DB3BF8">
      <w:pPr>
        <w:pStyle w:val="Doc-text2"/>
        <w:pBdr>
          <w:top w:val="single" w:sz="4" w:space="1" w:color="auto"/>
          <w:left w:val="single" w:sz="4" w:space="4" w:color="auto"/>
          <w:bottom w:val="single" w:sz="4" w:space="1" w:color="auto"/>
          <w:right w:val="single" w:sz="4" w:space="4" w:color="auto"/>
        </w:pBdr>
      </w:pPr>
    </w:p>
    <w:p w14:paraId="72F4E1E7" w14:textId="582C7B0A" w:rsidR="00DB3BF8" w:rsidRPr="005A7C9A" w:rsidRDefault="00DB3BF8" w:rsidP="00DB3BF8">
      <w:pPr>
        <w:pStyle w:val="Doc-text2"/>
        <w:pBdr>
          <w:top w:val="single" w:sz="4" w:space="1" w:color="auto"/>
          <w:left w:val="single" w:sz="4" w:space="4" w:color="auto"/>
          <w:bottom w:val="single" w:sz="4" w:space="1" w:color="auto"/>
          <w:right w:val="single" w:sz="4" w:space="4" w:color="auto"/>
        </w:pBdr>
        <w:rPr>
          <w:b/>
          <w:bCs/>
        </w:rPr>
      </w:pPr>
      <w:r w:rsidRPr="005A7C9A">
        <w:rPr>
          <w:b/>
          <w:bCs/>
        </w:rPr>
        <w:t>RAN2#108 Agreements</w:t>
      </w:r>
    </w:p>
    <w:p w14:paraId="6AEFF177" w14:textId="129B1226" w:rsidR="00DB3BF8" w:rsidRDefault="00DB3BF8" w:rsidP="00DB3BF8">
      <w:pPr>
        <w:pStyle w:val="Doc-text2"/>
        <w:pBdr>
          <w:top w:val="single" w:sz="4" w:space="1" w:color="auto"/>
          <w:left w:val="single" w:sz="4" w:space="4" w:color="auto"/>
          <w:bottom w:val="single" w:sz="4" w:space="1" w:color="auto"/>
          <w:right w:val="single" w:sz="4" w:space="4" w:color="auto"/>
        </w:pBdr>
      </w:pPr>
      <w:r>
        <w:t xml:space="preserve">1 </w:t>
      </w:r>
      <w:r w:rsidR="002B0B61">
        <w:t xml:space="preserve">   </w:t>
      </w:r>
      <w:r>
        <w:t xml:space="preserve">CPAC is defined as the UE having network configuration for initiating access to a candidate </w:t>
      </w:r>
      <w:proofErr w:type="spellStart"/>
      <w:r>
        <w:t>PSCell</w:t>
      </w:r>
      <w:proofErr w:type="spellEnd"/>
      <w:r>
        <w:t xml:space="preserve">, either to consider the </w:t>
      </w:r>
      <w:proofErr w:type="spellStart"/>
      <w:r>
        <w:t>PSCell</w:t>
      </w:r>
      <w:proofErr w:type="spellEnd"/>
      <w:r>
        <w:t xml:space="preserve"> as suitable for SN addition or SN change including intra-SN change, based on configured condition(s).  </w:t>
      </w:r>
    </w:p>
    <w:p w14:paraId="120F613D" w14:textId="77777777" w:rsidR="00DB3BF8" w:rsidRDefault="00DB3BF8" w:rsidP="00DB3BF8">
      <w:pPr>
        <w:pStyle w:val="Doc-text2"/>
        <w:pBdr>
          <w:top w:val="single" w:sz="4" w:space="1" w:color="auto"/>
          <w:left w:val="single" w:sz="4" w:space="4" w:color="auto"/>
          <w:bottom w:val="single" w:sz="4" w:space="1" w:color="auto"/>
          <w:right w:val="single" w:sz="4" w:space="4" w:color="auto"/>
        </w:pBdr>
      </w:pPr>
      <w:r>
        <w:t>2.</w:t>
      </w:r>
      <w:r>
        <w:tab/>
        <w:t>Usage of CPAC is decided by the network. The UE evaluates when the condition is valid.</w:t>
      </w:r>
    </w:p>
    <w:p w14:paraId="73121023" w14:textId="77777777" w:rsidR="00DB3BF8" w:rsidRDefault="00DB3BF8" w:rsidP="00DB3BF8">
      <w:pPr>
        <w:pStyle w:val="Doc-text2"/>
        <w:pBdr>
          <w:top w:val="single" w:sz="4" w:space="1" w:color="auto"/>
          <w:left w:val="single" w:sz="4" w:space="4" w:color="auto"/>
          <w:bottom w:val="single" w:sz="4" w:space="1" w:color="auto"/>
          <w:right w:val="single" w:sz="4" w:space="4" w:color="auto"/>
        </w:pBdr>
      </w:pPr>
      <w:r>
        <w:t>3.</w:t>
      </w:r>
      <w:r>
        <w:tab/>
        <w:t>Support configuration of one or more candidate cells for CPAC;</w:t>
      </w:r>
    </w:p>
    <w:p w14:paraId="445F4690" w14:textId="3B812713" w:rsidR="00DB3BF8" w:rsidRDefault="00F120CA" w:rsidP="00DB3BF8">
      <w:pPr>
        <w:pStyle w:val="Doc-text2"/>
        <w:pBdr>
          <w:top w:val="single" w:sz="4" w:space="1" w:color="auto"/>
          <w:left w:val="single" w:sz="4" w:space="4" w:color="auto"/>
          <w:bottom w:val="single" w:sz="4" w:space="1" w:color="auto"/>
          <w:right w:val="single" w:sz="4" w:space="4" w:color="auto"/>
        </w:pBdr>
      </w:pPr>
      <w:r>
        <w:t>4</w:t>
      </w:r>
      <w:r w:rsidR="00DB3BF8">
        <w:t>.</w:t>
      </w:r>
      <w:r w:rsidR="00DB3BF8">
        <w:tab/>
      </w:r>
      <w:r w:rsidR="00DB3BF8" w:rsidRPr="00094C68">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1622EE5D" w14:textId="64C4D1FA" w:rsidR="00DB3BF8" w:rsidRDefault="001403F2" w:rsidP="00DB3BF8">
      <w:pPr>
        <w:pStyle w:val="Doc-text2"/>
        <w:pBdr>
          <w:top w:val="single" w:sz="4" w:space="1" w:color="auto"/>
          <w:left w:val="single" w:sz="4" w:space="4" w:color="auto"/>
          <w:bottom w:val="single" w:sz="4" w:space="1" w:color="auto"/>
          <w:right w:val="single" w:sz="4" w:space="4" w:color="auto"/>
        </w:pBdr>
      </w:pPr>
      <w:r>
        <w:t>5</w:t>
      </w:r>
      <w:r w:rsidR="00DB3BF8">
        <w:t>.</w:t>
      </w:r>
      <w:r w:rsidR="00DB3BF8">
        <w:tab/>
        <w:t xml:space="preserve">Define an execution condition for conditional </w:t>
      </w:r>
      <w:proofErr w:type="spellStart"/>
      <w:r w:rsidR="00DB3BF8">
        <w:t>PSCell</w:t>
      </w:r>
      <w:proofErr w:type="spellEnd"/>
      <w:r w:rsidR="00DB3BF8">
        <w:t xml:space="preserve"> change by the measurement identity which identifies a measurement configuration There is already an agreement for conditional </w:t>
      </w:r>
      <w:proofErr w:type="spellStart"/>
      <w:r w:rsidR="00DB3BF8">
        <w:t>PSCell</w:t>
      </w:r>
      <w:proofErr w:type="spellEnd"/>
      <w:r w:rsidR="00DB3BF8">
        <w:t xml:space="preserve"> addition</w:t>
      </w:r>
    </w:p>
    <w:p w14:paraId="551F166A" w14:textId="77777777" w:rsidR="00DB3BF8" w:rsidRDefault="00DB3BF8" w:rsidP="00DB3BF8">
      <w:pPr>
        <w:pStyle w:val="Doc-text2"/>
        <w:pBdr>
          <w:top w:val="single" w:sz="4" w:space="1" w:color="auto"/>
          <w:left w:val="single" w:sz="4" w:space="4" w:color="auto"/>
          <w:bottom w:val="single" w:sz="4" w:space="1" w:color="auto"/>
          <w:right w:val="single" w:sz="4" w:space="4" w:color="auto"/>
        </w:pBdr>
      </w:pPr>
      <w:r>
        <w:t>7.</w:t>
      </w:r>
      <w:r>
        <w:tab/>
        <w:t xml:space="preserve">Cell level quality is used as baseline for Conditional NR </w:t>
      </w:r>
      <w:proofErr w:type="spellStart"/>
      <w:r>
        <w:t>PSCell</w:t>
      </w:r>
      <w:proofErr w:type="spellEnd"/>
      <w:r>
        <w:t xml:space="preserve"> addition/change execution condition;</w:t>
      </w:r>
    </w:p>
    <w:p w14:paraId="24ABB5EE" w14:textId="6DB847FF" w:rsidR="00DB3BF8" w:rsidRDefault="00151755" w:rsidP="00DB3BF8">
      <w:pPr>
        <w:pStyle w:val="Doc-text2"/>
        <w:pBdr>
          <w:top w:val="single" w:sz="4" w:space="1" w:color="auto"/>
          <w:left w:val="single" w:sz="4" w:space="4" w:color="auto"/>
          <w:bottom w:val="single" w:sz="4" w:space="1" w:color="auto"/>
          <w:right w:val="single" w:sz="4" w:space="4" w:color="auto"/>
        </w:pBdr>
      </w:pPr>
      <w:r>
        <w:t>8</w:t>
      </w:r>
      <w:r w:rsidR="00DB3BF8">
        <w:t>.</w:t>
      </w:r>
      <w:r w:rsidR="00DB3BF8">
        <w:tab/>
        <w:t xml:space="preserve">Only single RS type (SSB or CSI-RS) per candidate </w:t>
      </w:r>
      <w:proofErr w:type="spellStart"/>
      <w:r w:rsidR="00DB3BF8">
        <w:t>PSCell</w:t>
      </w:r>
      <w:proofErr w:type="spellEnd"/>
      <w:r w:rsidR="00DB3BF8">
        <w:t xml:space="preserve"> is supported for </w:t>
      </w:r>
      <w:proofErr w:type="spellStart"/>
      <w:r w:rsidR="00DB3BF8">
        <w:t>PSCell</w:t>
      </w:r>
      <w:proofErr w:type="spellEnd"/>
      <w:r w:rsidR="00DB3BF8">
        <w:t xml:space="preserve"> change. </w:t>
      </w:r>
    </w:p>
    <w:p w14:paraId="6A6F21A2" w14:textId="410ED07A" w:rsidR="00DB3BF8" w:rsidRDefault="00151755" w:rsidP="00DB3BF8">
      <w:pPr>
        <w:pStyle w:val="Doc-text2"/>
        <w:pBdr>
          <w:top w:val="single" w:sz="4" w:space="1" w:color="auto"/>
          <w:left w:val="single" w:sz="4" w:space="4" w:color="auto"/>
          <w:bottom w:val="single" w:sz="4" w:space="1" w:color="auto"/>
          <w:right w:val="single" w:sz="4" w:space="4" w:color="auto"/>
        </w:pBdr>
      </w:pPr>
      <w:r>
        <w:t>9</w:t>
      </w:r>
      <w:r w:rsidR="00DB3BF8">
        <w:t>.</w:t>
      </w:r>
      <w:r w:rsidR="00DB3BF8">
        <w:tab/>
        <w:t xml:space="preserve">At most two triggering quantities (e.g. RSRP and RSRQ, RSRP and SINR, etc.) can be configured simultaneously. </w:t>
      </w:r>
    </w:p>
    <w:p w14:paraId="446A2A34" w14:textId="48E1BD97" w:rsidR="00DB3BF8" w:rsidRDefault="00151755" w:rsidP="00DB3BF8">
      <w:pPr>
        <w:pStyle w:val="Doc-text2"/>
        <w:pBdr>
          <w:top w:val="single" w:sz="4" w:space="1" w:color="auto"/>
          <w:left w:val="single" w:sz="4" w:space="4" w:color="auto"/>
          <w:bottom w:val="single" w:sz="4" w:space="1" w:color="auto"/>
          <w:right w:val="single" w:sz="4" w:space="4" w:color="auto"/>
        </w:pBdr>
      </w:pPr>
      <w:r>
        <w:t>10</w:t>
      </w:r>
      <w:r w:rsidR="001E2DBE">
        <w:t>.</w:t>
      </w:r>
      <w:r w:rsidR="00DB3BF8">
        <w:tab/>
        <w:t>TTT is supported for CPAC execution condition (as per legacy configuration)</w:t>
      </w:r>
    </w:p>
    <w:p w14:paraId="7F1D69EA" w14:textId="1FC5D4EA" w:rsidR="00DB3BF8" w:rsidRDefault="00DB3BF8" w:rsidP="00DB3BF8">
      <w:pPr>
        <w:pStyle w:val="Doc-text2"/>
        <w:pBdr>
          <w:top w:val="single" w:sz="4" w:space="1" w:color="auto"/>
          <w:left w:val="single" w:sz="4" w:space="4" w:color="auto"/>
          <w:bottom w:val="single" w:sz="4" w:space="1" w:color="auto"/>
          <w:right w:val="single" w:sz="4" w:space="4" w:color="auto"/>
        </w:pBdr>
        <w:rPr>
          <w:color w:val="00B0F0"/>
        </w:rPr>
      </w:pPr>
      <w:r w:rsidRPr="00EC5F74">
        <w:t>1</w:t>
      </w:r>
      <w:r w:rsidR="00151755">
        <w:t>1</w:t>
      </w:r>
      <w:r w:rsidRPr="00EC5F74">
        <w:t>.</w:t>
      </w:r>
      <w:r w:rsidRPr="00EC5F74">
        <w:rPr>
          <w:color w:val="00B0F0"/>
        </w:rPr>
        <w:tab/>
      </w:r>
      <w:r w:rsidRPr="00094C68">
        <w:rPr>
          <w:color w:val="0070C0"/>
        </w:rPr>
        <w:t xml:space="preserve">UE is not required to continue evaluating the triggering condition of </w:t>
      </w:r>
      <w:proofErr w:type="gramStart"/>
      <w:r w:rsidRPr="00094C68">
        <w:rPr>
          <w:color w:val="0070C0"/>
        </w:rPr>
        <w:t>other</w:t>
      </w:r>
      <w:proofErr w:type="gramEnd"/>
      <w:r w:rsidRPr="00094C68">
        <w:rPr>
          <w:color w:val="0070C0"/>
        </w:rPr>
        <w:t xml:space="preserve"> candidate </w:t>
      </w:r>
      <w:proofErr w:type="spellStart"/>
      <w:r w:rsidRPr="00094C68">
        <w:rPr>
          <w:color w:val="0070C0"/>
        </w:rPr>
        <w:t>PSCell</w:t>
      </w:r>
      <w:proofErr w:type="spellEnd"/>
      <w:r w:rsidRPr="00094C68">
        <w:rPr>
          <w:color w:val="0070C0"/>
        </w:rPr>
        <w:t>(s) during conditional SN execution.</w:t>
      </w:r>
      <w:r w:rsidRPr="00EC5F74">
        <w:rPr>
          <w:color w:val="00B0F0"/>
        </w:rPr>
        <w:t xml:space="preserve"> </w:t>
      </w:r>
    </w:p>
    <w:p w14:paraId="632EAA2F" w14:textId="22C6A419" w:rsidR="004173C9" w:rsidRPr="00EC5F74" w:rsidRDefault="004173C9" w:rsidP="001E2DBE">
      <w:pPr>
        <w:pStyle w:val="Doc-text2"/>
        <w:pBdr>
          <w:top w:val="single" w:sz="4" w:space="1" w:color="auto"/>
          <w:left w:val="single" w:sz="4" w:space="4" w:color="auto"/>
          <w:bottom w:val="single" w:sz="4" w:space="1" w:color="auto"/>
          <w:right w:val="single" w:sz="4" w:space="4" w:color="auto"/>
        </w:pBdr>
      </w:pPr>
      <w:r>
        <w:t xml:space="preserve"> </w:t>
      </w:r>
      <w:r w:rsidR="00151755">
        <w:t>12</w:t>
      </w:r>
      <w:r w:rsidR="001E2DBE">
        <w:t xml:space="preserve">. </w:t>
      </w:r>
      <w:r>
        <w:t>SN decides on the condition for SN-initiated procedures and MN decides on the condition on MN-initiated procedures.</w:t>
      </w:r>
    </w:p>
    <w:p w14:paraId="267541E7" w14:textId="77777777" w:rsidR="00DB3BF8" w:rsidRDefault="00DB3BF8" w:rsidP="00DB3BF8">
      <w:pPr>
        <w:pStyle w:val="Doc-text2"/>
        <w:pBdr>
          <w:top w:val="single" w:sz="4" w:space="1" w:color="auto"/>
          <w:left w:val="single" w:sz="4" w:space="4" w:color="auto"/>
          <w:bottom w:val="single" w:sz="4" w:space="1" w:color="auto"/>
          <w:right w:val="single" w:sz="4" w:space="4" w:color="auto"/>
        </w:pBdr>
      </w:pPr>
    </w:p>
    <w:p w14:paraId="6A428C2B" w14:textId="79BDCA3D" w:rsidR="00393F32" w:rsidRDefault="005E025F" w:rsidP="00393F32">
      <w:pPr>
        <w:pStyle w:val="Doc-text2"/>
        <w:pBdr>
          <w:top w:val="single" w:sz="4" w:space="1" w:color="auto"/>
          <w:left w:val="single" w:sz="4" w:space="4" w:color="auto"/>
          <w:bottom w:val="single" w:sz="4" w:space="1" w:color="auto"/>
          <w:right w:val="single" w:sz="4" w:space="4" w:color="auto"/>
        </w:pBdr>
        <w:rPr>
          <w:b/>
          <w:bCs/>
        </w:rPr>
      </w:pPr>
      <w:r w:rsidRPr="005E025F">
        <w:rPr>
          <w:b/>
          <w:bCs/>
        </w:rPr>
        <w:t>RAN2#109</w:t>
      </w:r>
      <w:r w:rsidR="009B52DC">
        <w:rPr>
          <w:b/>
          <w:bCs/>
        </w:rPr>
        <w:t>e</w:t>
      </w:r>
      <w:r w:rsidRPr="005E025F">
        <w:rPr>
          <w:b/>
          <w:bCs/>
        </w:rPr>
        <w:t xml:space="preserve"> </w:t>
      </w:r>
      <w:r w:rsidR="00393F32">
        <w:rPr>
          <w:b/>
          <w:bCs/>
        </w:rPr>
        <w:t>A</w:t>
      </w:r>
      <w:r w:rsidR="00393F32" w:rsidRPr="00063D55">
        <w:rPr>
          <w:b/>
          <w:bCs/>
        </w:rPr>
        <w:t>greements</w:t>
      </w:r>
      <w:r w:rsidR="00393F32">
        <w:rPr>
          <w:b/>
          <w:bCs/>
        </w:rPr>
        <w:t xml:space="preserve"> (3.3.2020)</w:t>
      </w:r>
    </w:p>
    <w:p w14:paraId="16082D75" w14:textId="77777777" w:rsidR="00393F32" w:rsidRDefault="00393F32" w:rsidP="00393F32">
      <w:pPr>
        <w:pStyle w:val="Doc-text2"/>
        <w:pBdr>
          <w:top w:val="single" w:sz="4" w:space="1" w:color="auto"/>
          <w:left w:val="single" w:sz="4" w:space="4" w:color="auto"/>
          <w:bottom w:val="single" w:sz="4" w:space="1" w:color="auto"/>
          <w:right w:val="single" w:sz="4" w:space="4" w:color="auto"/>
        </w:pBdr>
      </w:pPr>
      <w:r>
        <w:t>Proposals from offline discussion [AT1092] [215]:</w:t>
      </w:r>
    </w:p>
    <w:p w14:paraId="52C4A131" w14:textId="68FB1F90" w:rsidR="00393F32" w:rsidRPr="00EC5F74" w:rsidRDefault="00393F32" w:rsidP="00393F32">
      <w:pPr>
        <w:pStyle w:val="Doc-text2"/>
        <w:pBdr>
          <w:top w:val="single" w:sz="4" w:space="1" w:color="auto"/>
          <w:left w:val="single" w:sz="4" w:space="4" w:color="auto"/>
          <w:bottom w:val="single" w:sz="4" w:space="1" w:color="auto"/>
          <w:right w:val="single" w:sz="4" w:space="4" w:color="auto"/>
        </w:pBdr>
        <w:rPr>
          <w:color w:val="0070C0"/>
        </w:rPr>
      </w:pPr>
      <w:r>
        <w:t xml:space="preserve">S1_1:  While executing CPC procedure, the UE continues to receive RRC reconfiguration from the MN. </w:t>
      </w:r>
      <w:r w:rsidRPr="00EC5F74">
        <w:rPr>
          <w:color w:val="0070C0"/>
        </w:rPr>
        <w:t xml:space="preserve">However, the UE should finalise the ongoing CPC execution before processing the RRC message received from the MN (same as in the conventional </w:t>
      </w:r>
      <w:proofErr w:type="spellStart"/>
      <w:r w:rsidRPr="00EC5F74">
        <w:rPr>
          <w:color w:val="0070C0"/>
        </w:rPr>
        <w:t>PSCell</w:t>
      </w:r>
      <w:proofErr w:type="spellEnd"/>
      <w:r w:rsidRPr="00EC5F74">
        <w:rPr>
          <w:color w:val="0070C0"/>
        </w:rPr>
        <w:t xml:space="preserve"> change). i.e. legacy behaviour and no specific UE requirement. </w:t>
      </w:r>
    </w:p>
    <w:p w14:paraId="5C68BDC6" w14:textId="77777777" w:rsidR="00393F32" w:rsidRPr="00094C68" w:rsidRDefault="00393F32" w:rsidP="00393F32">
      <w:pPr>
        <w:pStyle w:val="Doc-text2"/>
        <w:pBdr>
          <w:top w:val="single" w:sz="4" w:space="1" w:color="auto"/>
          <w:left w:val="single" w:sz="4" w:space="4" w:color="auto"/>
          <w:bottom w:val="single" w:sz="4" w:space="1" w:color="auto"/>
          <w:right w:val="single" w:sz="4" w:space="4" w:color="auto"/>
        </w:pBdr>
      </w:pPr>
      <w:r w:rsidRPr="00094C68">
        <w:t xml:space="preserve">S1_2: As in legacy </w:t>
      </w:r>
      <w:proofErr w:type="spellStart"/>
      <w:r w:rsidRPr="00094C68">
        <w:t>PSCell</w:t>
      </w:r>
      <w:proofErr w:type="spellEnd"/>
      <w:r w:rsidRPr="00094C68">
        <w:t xml:space="preserve"> change, the UE sends </w:t>
      </w:r>
      <w:proofErr w:type="spellStart"/>
      <w:r w:rsidRPr="00094C68">
        <w:t>RRCReconfigurationComplete</w:t>
      </w:r>
      <w:proofErr w:type="spellEnd"/>
      <w:r w:rsidRPr="00094C68">
        <w:t xml:space="preserve"> to the MN at execution of CPC when no SRB3 is configured and the MN informs the SN. </w:t>
      </w:r>
      <w:proofErr w:type="spellStart"/>
      <w:r w:rsidRPr="00094C68">
        <w:t>i.e</w:t>
      </w:r>
      <w:proofErr w:type="spellEnd"/>
      <w:r w:rsidRPr="00094C68">
        <w:t xml:space="preserve"> the complete message to MN includes an embedded complete message to the SN.</w:t>
      </w:r>
    </w:p>
    <w:p w14:paraId="39454120" w14:textId="429A194B" w:rsidR="00393F32" w:rsidRPr="00094C68" w:rsidRDefault="00393F32" w:rsidP="00393F32">
      <w:pPr>
        <w:pStyle w:val="Doc-text2"/>
        <w:pBdr>
          <w:top w:val="single" w:sz="4" w:space="1" w:color="auto"/>
          <w:left w:val="single" w:sz="4" w:space="4" w:color="auto"/>
          <w:bottom w:val="single" w:sz="4" w:space="1" w:color="auto"/>
          <w:right w:val="single" w:sz="4" w:space="4" w:color="auto"/>
        </w:pBdr>
      </w:pPr>
      <w:r w:rsidRPr="00094C68">
        <w:t xml:space="preserve">S1_3: The UE sends </w:t>
      </w:r>
      <w:proofErr w:type="spellStart"/>
      <w:r w:rsidRPr="00094C68">
        <w:t>RRCReconfigurationComplete</w:t>
      </w:r>
      <w:proofErr w:type="spellEnd"/>
      <w:r w:rsidRPr="00094C68">
        <w:t xml:space="preserve"> to the MN at configuration of CPC when no SRB3 is configured and the MN informs the SN. i.e. the complete message to the MN includes an embedded complete message to the SN.</w:t>
      </w:r>
    </w:p>
    <w:p w14:paraId="017490DD" w14:textId="77777777" w:rsidR="00393F32" w:rsidRDefault="00393F32" w:rsidP="00DB3BF8">
      <w:pPr>
        <w:pStyle w:val="Doc-text2"/>
        <w:pBdr>
          <w:top w:val="single" w:sz="4" w:space="1" w:color="auto"/>
          <w:left w:val="single" w:sz="4" w:space="4" w:color="auto"/>
          <w:bottom w:val="single" w:sz="4" w:space="1" w:color="auto"/>
          <w:right w:val="single" w:sz="4" w:space="4" w:color="auto"/>
        </w:pBdr>
        <w:rPr>
          <w:b/>
          <w:bCs/>
        </w:rPr>
      </w:pPr>
    </w:p>
    <w:p w14:paraId="4EDB3D0B" w14:textId="4E796DA7" w:rsidR="00893A91" w:rsidRDefault="00893A91" w:rsidP="00DB3BF8">
      <w:pPr>
        <w:pStyle w:val="Doc-text2"/>
        <w:pBdr>
          <w:top w:val="single" w:sz="4" w:space="1" w:color="auto"/>
          <w:left w:val="single" w:sz="4" w:space="4" w:color="auto"/>
          <w:bottom w:val="single" w:sz="4" w:space="1" w:color="auto"/>
          <w:right w:val="single" w:sz="4" w:space="4" w:color="auto"/>
        </w:pBdr>
        <w:rPr>
          <w:b/>
          <w:bCs/>
        </w:rPr>
      </w:pPr>
    </w:p>
    <w:p w14:paraId="00701FEB" w14:textId="6A42D56E" w:rsidR="006355E7" w:rsidRPr="006A201E" w:rsidRDefault="006355E7" w:rsidP="006355E7">
      <w:pPr>
        <w:pStyle w:val="Doc-text2"/>
        <w:pBdr>
          <w:top w:val="single" w:sz="4" w:space="1" w:color="auto"/>
          <w:left w:val="single" w:sz="4" w:space="4" w:color="auto"/>
          <w:bottom w:val="single" w:sz="4" w:space="1" w:color="auto"/>
          <w:right w:val="single" w:sz="4" w:space="4" w:color="auto"/>
        </w:pBdr>
        <w:rPr>
          <w:b/>
          <w:bCs/>
        </w:rPr>
      </w:pPr>
      <w:r>
        <w:rPr>
          <w:b/>
          <w:bCs/>
        </w:rPr>
        <w:t xml:space="preserve">RAN2#110e </w:t>
      </w:r>
      <w:r w:rsidRPr="006A201E">
        <w:rPr>
          <w:b/>
          <w:bCs/>
        </w:rPr>
        <w:t>Agreements</w:t>
      </w:r>
    </w:p>
    <w:p w14:paraId="68853ACF" w14:textId="173B66AA" w:rsidR="006355E7" w:rsidRDefault="006355E7" w:rsidP="006355E7">
      <w:pPr>
        <w:pStyle w:val="Doc-text2"/>
        <w:pBdr>
          <w:top w:val="single" w:sz="4" w:space="1" w:color="auto"/>
          <w:left w:val="single" w:sz="4" w:space="4" w:color="auto"/>
          <w:bottom w:val="single" w:sz="4" w:space="1" w:color="auto"/>
          <w:right w:val="single" w:sz="4" w:space="4" w:color="auto"/>
        </w:pBdr>
      </w:pPr>
    </w:p>
    <w:p w14:paraId="5A2DF921" w14:textId="5CDE4ECA" w:rsidR="006355E7" w:rsidRDefault="001D6F9F" w:rsidP="006355E7">
      <w:pPr>
        <w:pStyle w:val="Doc-text2"/>
        <w:pBdr>
          <w:top w:val="single" w:sz="4" w:space="1" w:color="auto"/>
          <w:left w:val="single" w:sz="4" w:space="4" w:color="auto"/>
          <w:bottom w:val="single" w:sz="4" w:space="1" w:color="auto"/>
          <w:right w:val="single" w:sz="4" w:space="4" w:color="auto"/>
        </w:pBdr>
      </w:pPr>
      <w:r>
        <w:t>2</w:t>
      </w:r>
      <w:r w:rsidR="006355E7">
        <w:tab/>
        <w:t>the CPC capable UE must support maximum 8 candidate cells;</w:t>
      </w:r>
    </w:p>
    <w:p w14:paraId="6CE7DFF7" w14:textId="65C5485A" w:rsidR="006355E7" w:rsidRPr="00EC5F74" w:rsidRDefault="001D6F9F" w:rsidP="006355E7">
      <w:pPr>
        <w:pStyle w:val="Doc-text2"/>
        <w:pBdr>
          <w:top w:val="single" w:sz="4" w:space="1" w:color="auto"/>
          <w:left w:val="single" w:sz="4" w:space="4" w:color="auto"/>
          <w:bottom w:val="single" w:sz="4" w:space="1" w:color="auto"/>
          <w:right w:val="single" w:sz="4" w:space="4" w:color="auto"/>
        </w:pBdr>
        <w:rPr>
          <w:color w:val="0070C0"/>
        </w:rPr>
      </w:pPr>
      <w:r>
        <w:t>3</w:t>
      </w:r>
      <w:r w:rsidR="006355E7" w:rsidRPr="00DB5C12">
        <w:rPr>
          <w:color w:val="00B050"/>
        </w:rPr>
        <w:tab/>
      </w:r>
      <w:r w:rsidR="006355E7" w:rsidRPr="00EC5F74">
        <w:rPr>
          <w:color w:val="0070C0"/>
        </w:rPr>
        <w:t>For CPC, introduce additional IOT bit (i.e. mandatory with capability) on the support of 2 trigger events for same execution condition. This feature is mandatory for UEs supporting CPC (as per definition of IOT bits).</w:t>
      </w:r>
    </w:p>
    <w:p w14:paraId="1687E8BD" w14:textId="5C759EFA" w:rsidR="006355E7" w:rsidRPr="00EC5F74" w:rsidRDefault="001D6F9F" w:rsidP="006355E7">
      <w:pPr>
        <w:pStyle w:val="Doc-text2"/>
        <w:pBdr>
          <w:top w:val="single" w:sz="4" w:space="1" w:color="auto"/>
          <w:left w:val="single" w:sz="4" w:space="4" w:color="auto"/>
          <w:bottom w:val="single" w:sz="4" w:space="1" w:color="auto"/>
          <w:right w:val="single" w:sz="4" w:space="4" w:color="auto"/>
        </w:pBdr>
        <w:rPr>
          <w:color w:val="0070C0"/>
        </w:rPr>
      </w:pPr>
      <w:r>
        <w:rPr>
          <w:color w:val="0070C0"/>
        </w:rPr>
        <w:t>5</w:t>
      </w:r>
      <w:r w:rsidR="006355E7" w:rsidRPr="00EC5F74">
        <w:rPr>
          <w:color w:val="0070C0"/>
        </w:rPr>
        <w:tab/>
        <w:t>Introduce capability bit (e.g. cpc-r16) to indicate the support of CPC;</w:t>
      </w:r>
    </w:p>
    <w:p w14:paraId="76F8649D" w14:textId="77777777" w:rsidR="006355E7" w:rsidRPr="00EC5F74" w:rsidRDefault="006355E7" w:rsidP="006355E7">
      <w:pPr>
        <w:pStyle w:val="Doc-text2"/>
        <w:pBdr>
          <w:top w:val="single" w:sz="4" w:space="1" w:color="auto"/>
          <w:left w:val="single" w:sz="4" w:space="4" w:color="auto"/>
          <w:bottom w:val="single" w:sz="4" w:space="1" w:color="auto"/>
          <w:right w:val="single" w:sz="4" w:space="4" w:color="auto"/>
        </w:pBdr>
        <w:rPr>
          <w:color w:val="0070C0"/>
        </w:rPr>
      </w:pPr>
      <w:r w:rsidRPr="00EC5F74">
        <w:rPr>
          <w:color w:val="0070C0"/>
        </w:rPr>
        <w:t>6</w:t>
      </w:r>
      <w:r w:rsidRPr="00EC5F74">
        <w:rPr>
          <w:color w:val="0070C0"/>
        </w:rPr>
        <w:tab/>
        <w:t>For CHO/CPC, introduce separate capabilities FDD-to-TDD (and vice versa) CHO/CPC and FR1-to-FR2 (and vice versa) CHO/CPC;</w:t>
      </w:r>
    </w:p>
    <w:p w14:paraId="03A6F738" w14:textId="77777777" w:rsidR="006355E7" w:rsidRPr="005E025F" w:rsidRDefault="006355E7" w:rsidP="00DB3BF8">
      <w:pPr>
        <w:pStyle w:val="Doc-text2"/>
        <w:pBdr>
          <w:top w:val="single" w:sz="4" w:space="1" w:color="auto"/>
          <w:left w:val="single" w:sz="4" w:space="4" w:color="auto"/>
          <w:bottom w:val="single" w:sz="4" w:space="1" w:color="auto"/>
          <w:right w:val="single" w:sz="4" w:space="4" w:color="auto"/>
        </w:pBdr>
        <w:rPr>
          <w:b/>
          <w:bCs/>
        </w:rPr>
      </w:pPr>
    </w:p>
    <w:p w14:paraId="01DCF2C4" w14:textId="145A0AD8" w:rsidR="00DB3BF8" w:rsidRDefault="00DB3BF8" w:rsidP="00694A77"/>
    <w:p w14:paraId="5D5EB871" w14:textId="4B2782DF" w:rsidR="00DB3BF8" w:rsidRPr="00094C68" w:rsidRDefault="00EC5F74" w:rsidP="00094C68">
      <w:pPr>
        <w:pStyle w:val="CommentText"/>
        <w:rPr>
          <w:b/>
          <w:bCs/>
        </w:rPr>
      </w:pPr>
      <w:r w:rsidRPr="00E76ABD">
        <w:rPr>
          <w:b/>
          <w:bCs/>
          <w:lang w:val="en-US"/>
        </w:rPr>
        <w:t xml:space="preserve">Proposal 1: </w:t>
      </w:r>
      <w:r w:rsidR="00E76ABD" w:rsidRPr="00094C68">
        <w:rPr>
          <w:b/>
          <w:bCs/>
        </w:rPr>
        <w:t xml:space="preserve">Adopt </w:t>
      </w:r>
      <w:r w:rsidR="0040130B">
        <w:rPr>
          <w:b/>
          <w:bCs/>
        </w:rPr>
        <w:t xml:space="preserve">the general CPAC </w:t>
      </w:r>
      <w:r w:rsidR="00E76ABD" w:rsidRPr="00094C68">
        <w:rPr>
          <w:b/>
          <w:bCs/>
        </w:rPr>
        <w:t xml:space="preserve">Rel.16 agreements shown in </w:t>
      </w:r>
      <w:r w:rsidR="007D1756">
        <w:rPr>
          <w:b/>
          <w:bCs/>
        </w:rPr>
        <w:t xml:space="preserve">black in </w:t>
      </w:r>
      <w:r w:rsidR="00E76ABD" w:rsidRPr="00094C68">
        <w:rPr>
          <w:b/>
          <w:bCs/>
        </w:rPr>
        <w:t xml:space="preserve">Table 1 as starting point for Rel. 17. The agreements shown </w:t>
      </w:r>
      <w:r w:rsidR="00E76ABD" w:rsidRPr="00094C68">
        <w:rPr>
          <w:b/>
          <w:bCs/>
          <w:color w:val="0070C0"/>
        </w:rPr>
        <w:t xml:space="preserve">in </w:t>
      </w:r>
      <w:r w:rsidR="00E76ABD" w:rsidRPr="00094C68">
        <w:rPr>
          <w:rFonts w:eastAsia="MS Mincho"/>
          <w:b/>
          <w:bCs/>
          <w:color w:val="0070C0"/>
          <w:szCs w:val="24"/>
          <w:lang w:eastAsia="en-GB"/>
        </w:rPr>
        <w:t>blue</w:t>
      </w:r>
      <w:r w:rsidR="00E76ABD" w:rsidRPr="00094C68">
        <w:rPr>
          <w:b/>
          <w:bCs/>
        </w:rPr>
        <w:t xml:space="preserve"> can be reconsidered for further discussion before reaching conclusions</w:t>
      </w:r>
      <w:r w:rsidR="005449C1" w:rsidRPr="00E76ABD">
        <w:rPr>
          <w:b/>
          <w:bCs/>
          <w:lang w:val="en-US"/>
        </w:rPr>
        <w:t>.</w:t>
      </w:r>
    </w:p>
    <w:p w14:paraId="5B17D08D" w14:textId="57966AC9" w:rsidR="008A2907" w:rsidRDefault="008A2907" w:rsidP="00694A77">
      <w:pPr>
        <w:rPr>
          <w:lang w:val="en-US"/>
        </w:rPr>
      </w:pPr>
      <w:r>
        <w:rPr>
          <w:lang w:val="en-US"/>
        </w:rPr>
        <w:t xml:space="preserve">Some </w:t>
      </w:r>
      <w:r w:rsidR="004A519F">
        <w:rPr>
          <w:lang w:val="en-US"/>
        </w:rPr>
        <w:t xml:space="preserve">of the </w:t>
      </w:r>
      <w:r>
        <w:rPr>
          <w:lang w:val="en-US"/>
        </w:rPr>
        <w:t>agreements</w:t>
      </w:r>
      <w:r w:rsidR="004A519F">
        <w:rPr>
          <w:lang w:val="en-US"/>
        </w:rPr>
        <w:t xml:space="preserve"> made in Rel. 16</w:t>
      </w:r>
      <w:r>
        <w:rPr>
          <w:lang w:val="en-US"/>
        </w:rPr>
        <w:t xml:space="preserve"> were targeting specific</w:t>
      </w:r>
      <w:r w:rsidR="004A519F">
        <w:rPr>
          <w:lang w:val="en-US"/>
        </w:rPr>
        <w:t>ally</w:t>
      </w:r>
      <w:r>
        <w:rPr>
          <w:lang w:val="en-US"/>
        </w:rPr>
        <w:t xml:space="preserve"> </w:t>
      </w:r>
      <w:r w:rsidR="007D1756">
        <w:rPr>
          <w:lang w:val="en-US"/>
        </w:rPr>
        <w:t>C</w:t>
      </w:r>
      <w:r>
        <w:rPr>
          <w:lang w:val="en-US"/>
        </w:rPr>
        <w:t xml:space="preserve">onditional </w:t>
      </w:r>
      <w:proofErr w:type="spellStart"/>
      <w:r>
        <w:rPr>
          <w:lang w:val="en-US"/>
        </w:rPr>
        <w:t>PSCell</w:t>
      </w:r>
      <w:proofErr w:type="spellEnd"/>
      <w:r>
        <w:rPr>
          <w:lang w:val="en-US"/>
        </w:rPr>
        <w:t xml:space="preserve"> Addition</w:t>
      </w:r>
      <w:r w:rsidR="005F33BF">
        <w:rPr>
          <w:lang w:val="en-US"/>
        </w:rPr>
        <w:t xml:space="preserve"> </w:t>
      </w:r>
      <w:r w:rsidR="008121E6">
        <w:rPr>
          <w:lang w:val="en-US"/>
        </w:rPr>
        <w:t xml:space="preserve">(CPA) </w:t>
      </w:r>
      <w:r w:rsidR="00BF0428">
        <w:rPr>
          <w:lang w:val="en-US"/>
        </w:rPr>
        <w:t xml:space="preserve">or </w:t>
      </w:r>
      <w:r w:rsidR="005F33BF">
        <w:rPr>
          <w:lang w:val="en-US"/>
        </w:rPr>
        <w:t>Change</w:t>
      </w:r>
      <w:r>
        <w:rPr>
          <w:lang w:val="en-US"/>
        </w:rPr>
        <w:t xml:space="preserve"> (</w:t>
      </w:r>
      <w:r w:rsidR="000837C4" w:rsidRPr="00094C68">
        <w:rPr>
          <w:lang w:val="en-US"/>
        </w:rPr>
        <w:t>CPC</w:t>
      </w:r>
      <w:r w:rsidRPr="008121E6">
        <w:rPr>
          <w:lang w:val="en-US"/>
        </w:rPr>
        <w:t>)</w:t>
      </w:r>
      <w:r w:rsidR="008C4116">
        <w:rPr>
          <w:lang w:val="en-US"/>
        </w:rPr>
        <w:t>.</w:t>
      </w:r>
      <w:r w:rsidR="008121E6">
        <w:rPr>
          <w:lang w:val="en-US"/>
        </w:rPr>
        <w:t xml:space="preserve"> </w:t>
      </w:r>
      <w:r w:rsidR="008C4116">
        <w:rPr>
          <w:lang w:val="en-US"/>
        </w:rPr>
        <w:t xml:space="preserve">These agreements are </w:t>
      </w:r>
      <w:r w:rsidR="008121E6">
        <w:rPr>
          <w:lang w:val="en-US"/>
        </w:rPr>
        <w:t>summarized in Table 2 below</w:t>
      </w:r>
      <w:r w:rsidR="007D1756">
        <w:rPr>
          <w:lang w:val="en-US"/>
        </w:rPr>
        <w:t xml:space="preserve">. The same </w:t>
      </w:r>
      <w:proofErr w:type="spellStart"/>
      <w:r w:rsidR="007D1756">
        <w:rPr>
          <w:lang w:val="en-US"/>
        </w:rPr>
        <w:t>colour</w:t>
      </w:r>
      <w:proofErr w:type="spellEnd"/>
      <w:r w:rsidR="007D1756">
        <w:rPr>
          <w:lang w:val="en-US"/>
        </w:rPr>
        <w:t xml:space="preserve"> codes apply</w:t>
      </w:r>
      <w:r w:rsidR="008121E6">
        <w:rPr>
          <w:lang w:val="en-US"/>
        </w:rPr>
        <w:t>.</w:t>
      </w:r>
    </w:p>
    <w:p w14:paraId="42C2F80B" w14:textId="0BF926CE" w:rsidR="009933EB" w:rsidRPr="009933EB" w:rsidRDefault="009933EB" w:rsidP="00694A77">
      <w:pPr>
        <w:rPr>
          <w:b/>
          <w:bCs/>
          <w:lang w:val="en-US"/>
        </w:rPr>
      </w:pPr>
      <w:r>
        <w:rPr>
          <w:lang w:val="en-US"/>
        </w:rPr>
        <w:tab/>
      </w:r>
      <w:r>
        <w:rPr>
          <w:lang w:val="en-US"/>
        </w:rPr>
        <w:tab/>
      </w:r>
      <w:r>
        <w:rPr>
          <w:lang w:val="en-US"/>
        </w:rPr>
        <w:tab/>
      </w:r>
      <w:r>
        <w:rPr>
          <w:lang w:val="en-US"/>
        </w:rPr>
        <w:tab/>
      </w:r>
      <w:r>
        <w:rPr>
          <w:b/>
          <w:bCs/>
          <w:lang w:val="en-US"/>
        </w:rPr>
        <w:t xml:space="preserve">Table 2: </w:t>
      </w:r>
      <w:r w:rsidR="00BF0428">
        <w:rPr>
          <w:b/>
          <w:bCs/>
          <w:lang w:val="en-US"/>
        </w:rPr>
        <w:t xml:space="preserve">Agreements specific to </w:t>
      </w:r>
      <w:r>
        <w:rPr>
          <w:b/>
          <w:bCs/>
          <w:lang w:val="en-US"/>
        </w:rPr>
        <w:t xml:space="preserve">CPA </w:t>
      </w:r>
      <w:r w:rsidR="00BF0428">
        <w:rPr>
          <w:b/>
          <w:bCs/>
          <w:lang w:val="en-US"/>
        </w:rPr>
        <w:t xml:space="preserve">or </w:t>
      </w:r>
      <w:r>
        <w:rPr>
          <w:b/>
          <w:bCs/>
          <w:lang w:val="en-US"/>
        </w:rPr>
        <w:t xml:space="preserve">CPC </w:t>
      </w:r>
    </w:p>
    <w:p w14:paraId="38C3D2F7" w14:textId="501D03D3" w:rsidR="003A0F31" w:rsidRPr="003160FB" w:rsidRDefault="003A0F31" w:rsidP="003A0F31">
      <w:pPr>
        <w:pStyle w:val="Doc-text2"/>
        <w:pBdr>
          <w:top w:val="single" w:sz="4" w:space="1" w:color="auto"/>
          <w:left w:val="single" w:sz="4" w:space="4" w:color="auto"/>
          <w:bottom w:val="single" w:sz="4" w:space="1" w:color="auto"/>
          <w:right w:val="single" w:sz="4" w:space="4" w:color="auto"/>
        </w:pBdr>
        <w:rPr>
          <w:b/>
        </w:rPr>
      </w:pPr>
      <w:r>
        <w:rPr>
          <w:b/>
        </w:rPr>
        <w:t xml:space="preserve">RAN2#107bis </w:t>
      </w:r>
      <w:r w:rsidRPr="003160FB">
        <w:rPr>
          <w:b/>
        </w:rPr>
        <w:t>Agreements:</w:t>
      </w:r>
    </w:p>
    <w:p w14:paraId="393878D8" w14:textId="7C474935" w:rsidR="003A0F31" w:rsidRDefault="00E76ABD" w:rsidP="003A0F31">
      <w:pPr>
        <w:pStyle w:val="Doc-text2"/>
        <w:pBdr>
          <w:top w:val="single" w:sz="4" w:space="1" w:color="auto"/>
          <w:left w:val="single" w:sz="4" w:space="4" w:color="auto"/>
          <w:bottom w:val="single" w:sz="4" w:space="1" w:color="auto"/>
          <w:right w:val="single" w:sz="4" w:space="4" w:color="auto"/>
        </w:pBdr>
      </w:pPr>
      <w:r>
        <w:t>1</w:t>
      </w:r>
      <w:r w:rsidR="003A0F31">
        <w:tab/>
        <w:t xml:space="preserve">For conditional </w:t>
      </w:r>
      <w:proofErr w:type="spellStart"/>
      <w:r w:rsidR="003A0F31">
        <w:t>PScell</w:t>
      </w:r>
      <w:proofErr w:type="spellEnd"/>
      <w:r w:rsidR="003A0F31">
        <w:t xml:space="preserve"> addition, the MN decides on the conditional </w:t>
      </w:r>
      <w:proofErr w:type="spellStart"/>
      <w:r w:rsidR="003A0F31">
        <w:t>PScell</w:t>
      </w:r>
      <w:proofErr w:type="spellEnd"/>
      <w:r w:rsidR="003A0F31">
        <w:t xml:space="preserve"> addition execution condition. The condition is defined by a measurement identity, given by a measurement configuration provided by the MN.</w:t>
      </w:r>
    </w:p>
    <w:p w14:paraId="4680CBBD" w14:textId="55D078EE" w:rsidR="003A0F31" w:rsidRDefault="00E76ABD" w:rsidP="003A0F31">
      <w:pPr>
        <w:pStyle w:val="Doc-text2"/>
        <w:pBdr>
          <w:top w:val="single" w:sz="4" w:space="1" w:color="auto"/>
          <w:left w:val="single" w:sz="4" w:space="4" w:color="auto"/>
          <w:bottom w:val="single" w:sz="4" w:space="1" w:color="auto"/>
          <w:right w:val="single" w:sz="4" w:space="4" w:color="auto"/>
        </w:pBdr>
      </w:pPr>
      <w:r>
        <w:t>2</w:t>
      </w:r>
      <w:r w:rsidR="003A0F31">
        <w:tab/>
        <w:t xml:space="preserve">For conditional </w:t>
      </w:r>
      <w:proofErr w:type="spellStart"/>
      <w:r w:rsidR="003A0F31">
        <w:t>PScell</w:t>
      </w:r>
      <w:proofErr w:type="spellEnd"/>
      <w:r w:rsidR="003A0F31">
        <w:t xml:space="preserve"> change, execution condition may be decided by MN (MN-initiated) or SN (SN-initiated)</w:t>
      </w:r>
    </w:p>
    <w:p w14:paraId="5614E042" w14:textId="39BC13E9" w:rsidR="003A0F31" w:rsidRPr="00094C68" w:rsidRDefault="00E76ABD" w:rsidP="003A0F31">
      <w:pPr>
        <w:pStyle w:val="Doc-text2"/>
        <w:pBdr>
          <w:top w:val="single" w:sz="4" w:space="1" w:color="auto"/>
          <w:left w:val="single" w:sz="4" w:space="4" w:color="auto"/>
          <w:bottom w:val="single" w:sz="4" w:space="1" w:color="auto"/>
          <w:right w:val="single" w:sz="4" w:space="4" w:color="auto"/>
        </w:pBdr>
        <w:rPr>
          <w:color w:val="0070C0"/>
        </w:rPr>
      </w:pPr>
      <w:r>
        <w:t>3</w:t>
      </w:r>
      <w:r w:rsidR="003A0F31" w:rsidRPr="003A0F31">
        <w:rPr>
          <w:color w:val="00B0F0"/>
        </w:rPr>
        <w:tab/>
      </w:r>
      <w:r w:rsidR="003A0F31" w:rsidRPr="00094C68">
        <w:rPr>
          <w:color w:val="0070C0"/>
        </w:rPr>
        <w:t xml:space="preserve">For conditional </w:t>
      </w:r>
      <w:proofErr w:type="spellStart"/>
      <w:r w:rsidR="003A0F31" w:rsidRPr="00094C68">
        <w:rPr>
          <w:color w:val="0070C0"/>
        </w:rPr>
        <w:t>PScell</w:t>
      </w:r>
      <w:proofErr w:type="spellEnd"/>
      <w:r w:rsidR="003A0F31" w:rsidRPr="00094C68">
        <w:rPr>
          <w:color w:val="0070C0"/>
        </w:rPr>
        <w:t xml:space="preserve"> change, A3/A5 execution condition should be supported while for conditional </w:t>
      </w:r>
      <w:proofErr w:type="spellStart"/>
      <w:r w:rsidR="003A0F31" w:rsidRPr="00094C68">
        <w:rPr>
          <w:color w:val="0070C0"/>
        </w:rPr>
        <w:t>PScell</w:t>
      </w:r>
      <w:proofErr w:type="spellEnd"/>
      <w:r w:rsidR="003A0F31" w:rsidRPr="00094C68">
        <w:rPr>
          <w:color w:val="0070C0"/>
        </w:rPr>
        <w:t xml:space="preserve"> addition, A4/B1 like execution condition should be supported.   </w:t>
      </w:r>
    </w:p>
    <w:p w14:paraId="05990E7C" w14:textId="77777777" w:rsidR="00E76ABD" w:rsidRDefault="00E76ABD" w:rsidP="00E76ABD">
      <w:pPr>
        <w:pStyle w:val="Doc-text2"/>
        <w:pBdr>
          <w:top w:val="single" w:sz="4" w:space="1" w:color="auto"/>
          <w:left w:val="single" w:sz="4" w:space="4" w:color="auto"/>
          <w:bottom w:val="single" w:sz="4" w:space="1" w:color="auto"/>
          <w:right w:val="single" w:sz="4" w:space="4" w:color="auto"/>
        </w:pBdr>
        <w:ind w:left="1259" w:firstLine="0"/>
      </w:pPr>
      <w:r>
        <w:t xml:space="preserve">4     </w:t>
      </w:r>
      <w:r w:rsidR="003A0F31">
        <w:t xml:space="preserve">For conditional SN change, the source SN configuration can be used as the reference in </w:t>
      </w:r>
      <w:r>
        <w:t xml:space="preserve">  </w:t>
      </w:r>
    </w:p>
    <w:p w14:paraId="79EC3291" w14:textId="68005B38" w:rsidR="003A0F31" w:rsidRDefault="00E76ABD" w:rsidP="00094C68">
      <w:pPr>
        <w:pStyle w:val="Doc-text2"/>
        <w:pBdr>
          <w:top w:val="single" w:sz="4" w:space="1" w:color="auto"/>
          <w:left w:val="single" w:sz="4" w:space="4" w:color="auto"/>
          <w:bottom w:val="single" w:sz="4" w:space="1" w:color="auto"/>
          <w:right w:val="single" w:sz="4" w:space="4" w:color="auto"/>
        </w:pBdr>
        <w:ind w:left="1259" w:firstLine="0"/>
      </w:pPr>
      <w:r>
        <w:t xml:space="preserve">       </w:t>
      </w:r>
      <w:r w:rsidR="003A0F31">
        <w:t>generation of delta signalling for the candidate SNs</w:t>
      </w:r>
      <w:r w:rsidR="003A0F31" w:rsidRPr="006D2BD3">
        <w:t xml:space="preserve">.  </w:t>
      </w:r>
    </w:p>
    <w:p w14:paraId="26AF93BF" w14:textId="77777777" w:rsidR="003A0F31" w:rsidRDefault="003A0F31" w:rsidP="008A2907">
      <w:pPr>
        <w:pStyle w:val="Doc-text2"/>
        <w:pBdr>
          <w:top w:val="single" w:sz="4" w:space="1" w:color="auto"/>
          <w:left w:val="single" w:sz="4" w:space="4" w:color="auto"/>
          <w:bottom w:val="single" w:sz="4" w:space="1" w:color="auto"/>
          <w:right w:val="single" w:sz="4" w:space="4" w:color="auto"/>
        </w:pBdr>
        <w:rPr>
          <w:b/>
        </w:rPr>
      </w:pPr>
    </w:p>
    <w:p w14:paraId="4560F251" w14:textId="6E6C7E3B" w:rsidR="008A2907" w:rsidRDefault="008A2907" w:rsidP="008A2907">
      <w:pPr>
        <w:pStyle w:val="Doc-text2"/>
        <w:pBdr>
          <w:top w:val="single" w:sz="4" w:space="1" w:color="auto"/>
          <w:left w:val="single" w:sz="4" w:space="4" w:color="auto"/>
          <w:bottom w:val="single" w:sz="4" w:space="1" w:color="auto"/>
          <w:right w:val="single" w:sz="4" w:space="4" w:color="auto"/>
        </w:pBdr>
        <w:rPr>
          <w:b/>
        </w:rPr>
      </w:pPr>
      <w:r>
        <w:rPr>
          <w:b/>
        </w:rPr>
        <w:t xml:space="preserve">RAN2#109 Agreements </w:t>
      </w:r>
    </w:p>
    <w:p w14:paraId="1F04A0DA" w14:textId="6D49DAEF" w:rsidR="008A2907" w:rsidRPr="00BD7577" w:rsidRDefault="008A2907" w:rsidP="008A2907">
      <w:pPr>
        <w:pStyle w:val="Doc-text2"/>
        <w:pBdr>
          <w:top w:val="single" w:sz="4" w:space="1" w:color="auto"/>
          <w:left w:val="single" w:sz="4" w:space="4" w:color="auto"/>
          <w:bottom w:val="single" w:sz="4" w:space="1" w:color="auto"/>
          <w:right w:val="single" w:sz="4" w:space="4" w:color="auto"/>
        </w:pBdr>
        <w:rPr>
          <w:b/>
        </w:rPr>
      </w:pPr>
      <w:r w:rsidRPr="00BD7577">
        <w:rPr>
          <w:b/>
        </w:rPr>
        <w:t xml:space="preserve">For </w:t>
      </w:r>
      <w:proofErr w:type="spellStart"/>
      <w:r w:rsidRPr="00BD7577">
        <w:rPr>
          <w:b/>
        </w:rPr>
        <w:t>PSCell</w:t>
      </w:r>
      <w:proofErr w:type="spellEnd"/>
      <w:r w:rsidRPr="00BD7577">
        <w:rPr>
          <w:b/>
        </w:rPr>
        <w:t xml:space="preserve"> addition:</w:t>
      </w:r>
    </w:p>
    <w:p w14:paraId="0F9B857E" w14:textId="7F549620" w:rsidR="008A2907" w:rsidRDefault="009260E3" w:rsidP="008A2907">
      <w:pPr>
        <w:pStyle w:val="Doc-text2"/>
        <w:pBdr>
          <w:top w:val="single" w:sz="4" w:space="1" w:color="auto"/>
          <w:left w:val="single" w:sz="4" w:space="4" w:color="auto"/>
          <w:bottom w:val="single" w:sz="4" w:space="1" w:color="auto"/>
          <w:right w:val="single" w:sz="4" w:space="4" w:color="auto"/>
        </w:pBdr>
      </w:pPr>
      <w:r>
        <w:t>1</w:t>
      </w:r>
      <w:r w:rsidR="008A2907">
        <w:tab/>
        <w:t xml:space="preserve">The baseline operation for CPAC procedure assumes the RRC Reconfiguration message contains SCG addition/change triggering condition(s) and the RRC configuration(s) for candidate target </w:t>
      </w:r>
      <w:proofErr w:type="spellStart"/>
      <w:r w:rsidR="008A2907">
        <w:t>PSCells</w:t>
      </w:r>
      <w:proofErr w:type="spellEnd"/>
      <w:r w:rsidR="008A2907">
        <w:t xml:space="preserve">. The UE accesses the prepared </w:t>
      </w:r>
      <w:proofErr w:type="spellStart"/>
      <w:r w:rsidR="008A2907">
        <w:t>PSCell</w:t>
      </w:r>
      <w:proofErr w:type="spellEnd"/>
      <w:r w:rsidR="008A2907">
        <w:t xml:space="preserve"> when the relevant condition is met.</w:t>
      </w:r>
    </w:p>
    <w:p w14:paraId="5C5CF263" w14:textId="6B09DA78" w:rsidR="008A2907" w:rsidRDefault="009260E3" w:rsidP="008A2907">
      <w:pPr>
        <w:pStyle w:val="Doc-text2"/>
        <w:pBdr>
          <w:top w:val="single" w:sz="4" w:space="1" w:color="auto"/>
          <w:left w:val="single" w:sz="4" w:space="4" w:color="auto"/>
          <w:bottom w:val="single" w:sz="4" w:space="1" w:color="auto"/>
          <w:right w:val="single" w:sz="4" w:space="4" w:color="auto"/>
        </w:pBdr>
      </w:pPr>
      <w:r>
        <w:t>2</w:t>
      </w:r>
      <w:r w:rsidR="008A2907">
        <w:tab/>
        <w:t xml:space="preserve">Multiple candidate </w:t>
      </w:r>
      <w:proofErr w:type="spellStart"/>
      <w:r w:rsidR="008A2907">
        <w:t>PSCells</w:t>
      </w:r>
      <w:proofErr w:type="spellEnd"/>
      <w:r w:rsidR="008A2907">
        <w:t xml:space="preserve"> can be sent in either one or multiple RRC messages. </w:t>
      </w:r>
    </w:p>
    <w:p w14:paraId="74CBA1F8" w14:textId="002CB89C" w:rsidR="008A2907" w:rsidRDefault="009260E3" w:rsidP="00094C68">
      <w:pPr>
        <w:pStyle w:val="Doc-text2"/>
        <w:pBdr>
          <w:top w:val="single" w:sz="4" w:space="1" w:color="auto"/>
          <w:left w:val="single" w:sz="4" w:space="4" w:color="auto"/>
          <w:bottom w:val="single" w:sz="4" w:space="1" w:color="auto"/>
          <w:right w:val="single" w:sz="4" w:space="4" w:color="auto"/>
        </w:pBdr>
        <w:ind w:left="1619" w:hanging="360"/>
      </w:pPr>
      <w:r>
        <w:t>3</w:t>
      </w:r>
      <w:r w:rsidR="008A2907">
        <w:tab/>
      </w:r>
      <w:r>
        <w:tab/>
      </w:r>
      <w:r w:rsidR="008A2907">
        <w:t xml:space="preserve">As part of the CPAC configuration to be sent to the UE, the RRC container is used to carry candidate </w:t>
      </w:r>
      <w:proofErr w:type="spellStart"/>
      <w:r w:rsidR="008A2907">
        <w:t>PSCell</w:t>
      </w:r>
      <w:proofErr w:type="spellEnd"/>
      <w:r w:rsidR="008A2907">
        <w:t xml:space="preserve"> configuration, and the MN is not allowed to alter any content of the configuration from the </w:t>
      </w:r>
      <w:proofErr w:type="spellStart"/>
      <w:r w:rsidR="008A2907">
        <w:t>PSCell</w:t>
      </w:r>
      <w:proofErr w:type="spellEnd"/>
      <w:r w:rsidR="008A2907">
        <w:t xml:space="preserve">. moreover, in case of SN change, source SN is not allowed to alter any content of the configuration from the target SN. </w:t>
      </w:r>
    </w:p>
    <w:p w14:paraId="43119769" w14:textId="4EB2E481" w:rsidR="008A2907" w:rsidRDefault="009260E3" w:rsidP="008A2907">
      <w:pPr>
        <w:pStyle w:val="Doc-text2"/>
        <w:pBdr>
          <w:top w:val="single" w:sz="4" w:space="1" w:color="auto"/>
          <w:left w:val="single" w:sz="4" w:space="4" w:color="auto"/>
          <w:bottom w:val="single" w:sz="4" w:space="1" w:color="auto"/>
          <w:right w:val="single" w:sz="4" w:space="4" w:color="auto"/>
        </w:pBdr>
      </w:pPr>
      <w:r>
        <w:t>4</w:t>
      </w:r>
      <w:r w:rsidR="008A2907">
        <w:tab/>
        <w:t xml:space="preserve">Use add/mod list + release list to configure multiple candidate </w:t>
      </w:r>
      <w:proofErr w:type="spellStart"/>
      <w:r w:rsidR="008A2907">
        <w:t>PSCells</w:t>
      </w:r>
      <w:proofErr w:type="spellEnd"/>
      <w:r w:rsidR="008A2907">
        <w:t xml:space="preserve">. </w:t>
      </w:r>
    </w:p>
    <w:p w14:paraId="14EA7BC7" w14:textId="3FF50CAB" w:rsidR="008A2907" w:rsidRDefault="009260E3" w:rsidP="008A2907">
      <w:pPr>
        <w:pStyle w:val="Doc-text2"/>
        <w:pBdr>
          <w:top w:val="single" w:sz="4" w:space="1" w:color="auto"/>
          <w:left w:val="single" w:sz="4" w:space="4" w:color="auto"/>
          <w:bottom w:val="single" w:sz="4" w:space="1" w:color="auto"/>
          <w:right w:val="single" w:sz="4" w:space="4" w:color="auto"/>
        </w:pBdr>
      </w:pPr>
      <w:r>
        <w:t>5</w:t>
      </w:r>
      <w:r w:rsidR="008A2907">
        <w:tab/>
        <w:t xml:space="preserve">CPAC execution condition and/or candidate </w:t>
      </w:r>
      <w:proofErr w:type="spellStart"/>
      <w:r w:rsidR="008A2907">
        <w:t>PSCell</w:t>
      </w:r>
      <w:proofErr w:type="spellEnd"/>
      <w:r w:rsidR="008A2907">
        <w:t xml:space="preserve"> configuration can be updated by modifying the existing CPAC configuration.</w:t>
      </w:r>
    </w:p>
    <w:p w14:paraId="029B329A" w14:textId="36F3E240" w:rsidR="008A2907" w:rsidRDefault="009260E3" w:rsidP="008A2907">
      <w:pPr>
        <w:pStyle w:val="Doc-text2"/>
        <w:pBdr>
          <w:top w:val="single" w:sz="4" w:space="1" w:color="auto"/>
          <w:left w:val="single" w:sz="4" w:space="4" w:color="auto"/>
          <w:bottom w:val="single" w:sz="4" w:space="1" w:color="auto"/>
          <w:right w:val="single" w:sz="4" w:space="4" w:color="auto"/>
        </w:pBdr>
      </w:pPr>
      <w:r>
        <w:t>6</w:t>
      </w:r>
      <w:r w:rsidR="008A2907">
        <w:tab/>
        <w:t xml:space="preserve">Reuse the </w:t>
      </w:r>
      <w:proofErr w:type="spellStart"/>
      <w:r w:rsidR="008A2907">
        <w:t>RRCReconfiguration</w:t>
      </w:r>
      <w:proofErr w:type="spellEnd"/>
      <w:r w:rsidR="008A2907">
        <w:t>/</w:t>
      </w:r>
      <w:proofErr w:type="spellStart"/>
      <w:r w:rsidR="008A2907">
        <w:t>RRCConnectionReconfiguration</w:t>
      </w:r>
      <w:proofErr w:type="spellEnd"/>
      <w:r w:rsidR="008A2907">
        <w:t xml:space="preserve"> procedure to signal CPAC configuration to UE.</w:t>
      </w:r>
    </w:p>
    <w:p w14:paraId="4B05C0D4" w14:textId="07C532A0" w:rsidR="008A2907" w:rsidRDefault="008A2907" w:rsidP="00694A77"/>
    <w:p w14:paraId="5ECE392F" w14:textId="4E576EB5" w:rsidR="009B52DC" w:rsidRDefault="009933EB" w:rsidP="00694A77">
      <w:r>
        <w:rPr>
          <w:b/>
          <w:bCs/>
        </w:rPr>
        <w:t xml:space="preserve">Proposal 2: </w:t>
      </w:r>
      <w:r w:rsidR="0040130B" w:rsidRPr="004E6FA6">
        <w:rPr>
          <w:b/>
          <w:bCs/>
        </w:rPr>
        <w:t xml:space="preserve">Adopt </w:t>
      </w:r>
      <w:r w:rsidR="0040130B">
        <w:rPr>
          <w:b/>
          <w:bCs/>
        </w:rPr>
        <w:t xml:space="preserve">the CPA and CPC </w:t>
      </w:r>
      <w:r w:rsidR="0040130B" w:rsidRPr="004E6FA6">
        <w:rPr>
          <w:b/>
          <w:bCs/>
        </w:rPr>
        <w:t>Rel.16 agreements shown in</w:t>
      </w:r>
      <w:r w:rsidR="007D1756">
        <w:rPr>
          <w:b/>
          <w:bCs/>
        </w:rPr>
        <w:t xml:space="preserve"> black in</w:t>
      </w:r>
      <w:r w:rsidR="0040130B" w:rsidRPr="004E6FA6">
        <w:rPr>
          <w:b/>
          <w:bCs/>
        </w:rPr>
        <w:t xml:space="preserve"> Table </w:t>
      </w:r>
      <w:r w:rsidR="0040130B">
        <w:rPr>
          <w:b/>
          <w:bCs/>
        </w:rPr>
        <w:t>2</w:t>
      </w:r>
      <w:r w:rsidR="0040130B" w:rsidRPr="004E6FA6">
        <w:rPr>
          <w:b/>
          <w:bCs/>
        </w:rPr>
        <w:t xml:space="preserve"> as starting point for Rel. 17. The agreements shown </w:t>
      </w:r>
      <w:r w:rsidR="0040130B" w:rsidRPr="00094C68">
        <w:rPr>
          <w:b/>
          <w:bCs/>
          <w:color w:val="0070C0"/>
        </w:rPr>
        <w:t xml:space="preserve">in blue </w:t>
      </w:r>
      <w:r w:rsidR="0040130B" w:rsidRPr="004E6FA6">
        <w:rPr>
          <w:b/>
          <w:bCs/>
        </w:rPr>
        <w:t>can be reconsidered for further discussion before reaching conclusions</w:t>
      </w:r>
      <w:r w:rsidR="0040130B" w:rsidRPr="00E76ABD">
        <w:rPr>
          <w:b/>
          <w:bCs/>
          <w:lang w:val="en-US"/>
        </w:rPr>
        <w:t>.</w:t>
      </w:r>
    </w:p>
    <w:p w14:paraId="28D431C0" w14:textId="6F67D788" w:rsidR="006B4D76" w:rsidRDefault="006B4D76">
      <w:pPr>
        <w:pStyle w:val="Heading1"/>
      </w:pPr>
      <w:r>
        <w:t>3</w:t>
      </w:r>
      <w:r>
        <w:tab/>
        <w:t xml:space="preserve">Other Rel-17 </w:t>
      </w:r>
      <w:r w:rsidR="00254D73">
        <w:t>Topics</w:t>
      </w:r>
      <w:r w:rsidR="007D1756">
        <w:t xml:space="preserve"> related to Conditional </w:t>
      </w:r>
      <w:proofErr w:type="spellStart"/>
      <w:r w:rsidR="007D1756">
        <w:t>PSCell</w:t>
      </w:r>
      <w:proofErr w:type="spellEnd"/>
      <w:r w:rsidR="007D1756">
        <w:t xml:space="preserve"> reconfigurations</w:t>
      </w:r>
    </w:p>
    <w:p w14:paraId="5FAD7A65" w14:textId="64227E9F" w:rsidR="006E5E7F" w:rsidRDefault="00A250BE" w:rsidP="00276480">
      <w:r>
        <w:t xml:space="preserve">This section briefly introduces other CPAC related aspects which have not been </w:t>
      </w:r>
      <w:r w:rsidR="00D80B31">
        <w:t>analysed</w:t>
      </w:r>
      <w:r>
        <w:t xml:space="preserve"> in Rel-16, while we feel those </w:t>
      </w:r>
      <w:r w:rsidR="00F65010">
        <w:t>may</w:t>
      </w:r>
      <w:r>
        <w:t xml:space="preserve"> be </w:t>
      </w:r>
      <w:r w:rsidR="00D80B31">
        <w:t>potential problems</w:t>
      </w:r>
      <w:r w:rsidR="00F65010">
        <w:t xml:space="preserve"> – to</w:t>
      </w:r>
      <w:r w:rsidR="00D80B31">
        <w:t xml:space="preserve"> be addressed</w:t>
      </w:r>
      <w:r>
        <w:t xml:space="preserve"> in Rel-17.</w:t>
      </w:r>
    </w:p>
    <w:p w14:paraId="1230C035" w14:textId="1A607879" w:rsidR="00D80B31" w:rsidRDefault="00D80B31" w:rsidP="00D80B31">
      <w:pPr>
        <w:pStyle w:val="Heading2"/>
      </w:pPr>
      <w:r>
        <w:t>3.1</w:t>
      </w:r>
      <w:r>
        <w:tab/>
      </w:r>
      <w:r w:rsidR="004A5886">
        <w:t xml:space="preserve">SCG </w:t>
      </w:r>
      <w:r>
        <w:t xml:space="preserve">Failure </w:t>
      </w:r>
      <w:r w:rsidR="00065A12">
        <w:t>due to CPC operation</w:t>
      </w:r>
    </w:p>
    <w:p w14:paraId="4E8EBF25" w14:textId="2A0CF980" w:rsidR="00D80B31" w:rsidRDefault="004F37AC" w:rsidP="00D80B31">
      <w:r>
        <w:t>In Rel-16 it was decided that the UE reports Failure Information towards the MN when CPC procedure fails, as per the following agreement:</w:t>
      </w:r>
    </w:p>
    <w:tbl>
      <w:tblPr>
        <w:tblStyle w:val="TableGrid"/>
        <w:tblW w:w="0" w:type="auto"/>
        <w:tblLook w:val="04A0" w:firstRow="1" w:lastRow="0" w:firstColumn="1" w:lastColumn="0" w:noHBand="0" w:noVBand="1"/>
      </w:tblPr>
      <w:tblGrid>
        <w:gridCol w:w="9631"/>
      </w:tblGrid>
      <w:tr w:rsidR="004F37AC" w14:paraId="7BD546EC" w14:textId="77777777" w:rsidTr="004F37AC">
        <w:tc>
          <w:tcPr>
            <w:tcW w:w="9631" w:type="dxa"/>
          </w:tcPr>
          <w:p w14:paraId="3BD880E3" w14:textId="580D3C26" w:rsidR="004F37AC" w:rsidRDefault="004F37AC" w:rsidP="00D80B31">
            <w:r w:rsidRPr="004F37AC">
              <w:t xml:space="preserve">The content of </w:t>
            </w:r>
            <w:proofErr w:type="spellStart"/>
            <w:r w:rsidRPr="004F37AC">
              <w:t>FailureReportSCG</w:t>
            </w:r>
            <w:proofErr w:type="spellEnd"/>
            <w:r w:rsidRPr="004F37AC">
              <w:t xml:space="preserve"> for CPC procedure failure should include </w:t>
            </w:r>
            <w:proofErr w:type="spellStart"/>
            <w:r w:rsidRPr="004F37AC">
              <w:t>failureType</w:t>
            </w:r>
            <w:proofErr w:type="spellEnd"/>
            <w:r w:rsidRPr="004F37AC">
              <w:t xml:space="preserve">, </w:t>
            </w:r>
            <w:proofErr w:type="spellStart"/>
            <w:r w:rsidRPr="004F37AC">
              <w:t>measResultFreqList</w:t>
            </w:r>
            <w:proofErr w:type="spellEnd"/>
            <w:r w:rsidRPr="004F37AC">
              <w:t xml:space="preserve"> and </w:t>
            </w:r>
            <w:proofErr w:type="spellStart"/>
            <w:r w:rsidRPr="004F37AC">
              <w:t>measuResultSCG</w:t>
            </w:r>
            <w:proofErr w:type="spellEnd"/>
            <w:r w:rsidRPr="004F37AC">
              <w:t xml:space="preserve">-Failure. These parameters are set according to the exiting </w:t>
            </w:r>
            <w:proofErr w:type="spellStart"/>
            <w:r w:rsidRPr="004F37AC">
              <w:t>SCGFailureInformation</w:t>
            </w:r>
            <w:proofErr w:type="spellEnd"/>
            <w:r w:rsidRPr="004F37AC">
              <w:t xml:space="preserve"> procedure. (same as legacy)</w:t>
            </w:r>
          </w:p>
        </w:tc>
      </w:tr>
    </w:tbl>
    <w:p w14:paraId="6B20C0F1" w14:textId="77777777" w:rsidR="00C21B3E" w:rsidRDefault="004F37AC" w:rsidP="00D80B31">
      <w:r>
        <w:br/>
        <w:t xml:space="preserve">However, quite many companies have found such approach (i.e. to reuse the legacy operation without any CPC-specific modifications) suboptimal and agreed to </w:t>
      </w:r>
      <w:r w:rsidR="002A4DBF">
        <w:t>follow such path</w:t>
      </w:r>
      <w:r>
        <w:t xml:space="preserve"> mainly due to the lack of time to specify more advanced mechanisms. Thus, in Rel-17 we suggest to </w:t>
      </w:r>
      <w:r w:rsidR="002A4DBF">
        <w:t>reopen th</w:t>
      </w:r>
      <w:r w:rsidR="00C21B3E">
        <w:t>e</w:t>
      </w:r>
      <w:r w:rsidR="002A4DBF">
        <w:t xml:space="preserve"> topic and thoroughly</w:t>
      </w:r>
      <w:r w:rsidR="00C21B3E">
        <w:t xml:space="preserve"> consider</w:t>
      </w:r>
      <w:r w:rsidR="002A4DBF">
        <w:t xml:space="preserve"> what kind of CPC/CPA specific aspects can be reported in such Failure Information towards the MN. Please note that current framework allows to provide </w:t>
      </w:r>
      <w:r w:rsidR="00C21B3E">
        <w:t xml:space="preserve">only </w:t>
      </w:r>
      <w:r w:rsidR="002A4DBF">
        <w:t>the raw measurement results</w:t>
      </w:r>
      <w:r w:rsidR="00C21B3E">
        <w:t xml:space="preserve"> and indicate the legacy failure type (e.g. T310 expiry). As the reporting occurs towards the MN and MCG may not be aware of the CPC configuration, it would be desired to provide more details in such report.</w:t>
      </w:r>
    </w:p>
    <w:p w14:paraId="73DA3A05" w14:textId="5EE19293" w:rsidR="00D80B31" w:rsidRPr="00276480" w:rsidRDefault="00C21B3E" w:rsidP="00276480">
      <w:pPr>
        <w:rPr>
          <w:b/>
          <w:bCs/>
        </w:rPr>
      </w:pPr>
      <w:r w:rsidRPr="00276480">
        <w:rPr>
          <w:b/>
          <w:bCs/>
        </w:rPr>
        <w:t xml:space="preserve">Proposal 3: RAN2 is asked to discuss </w:t>
      </w:r>
      <w:r w:rsidR="004A613C">
        <w:rPr>
          <w:b/>
          <w:bCs/>
        </w:rPr>
        <w:t xml:space="preserve">whether to </w:t>
      </w:r>
      <w:r w:rsidRPr="00276480">
        <w:rPr>
          <w:b/>
          <w:bCs/>
        </w:rPr>
        <w:t xml:space="preserve">specify additional SCG Failure Information components for CPC and CPA. </w:t>
      </w:r>
    </w:p>
    <w:p w14:paraId="5B7D5788" w14:textId="0EC10A1D" w:rsidR="00D80B31" w:rsidRDefault="00D80B31">
      <w:pPr>
        <w:pStyle w:val="Heading2"/>
      </w:pPr>
      <w:r>
        <w:t>3.2</w:t>
      </w:r>
      <w:r>
        <w:tab/>
      </w:r>
      <w:proofErr w:type="spellStart"/>
      <w:r>
        <w:t>PSCell</w:t>
      </w:r>
      <w:proofErr w:type="spellEnd"/>
      <w:r>
        <w:t xml:space="preserve"> Release</w:t>
      </w:r>
      <w:r w:rsidR="004A613C">
        <w:t xml:space="preserve"> to achieve UE power saving</w:t>
      </w:r>
    </w:p>
    <w:p w14:paraId="3F6ECB5A" w14:textId="6B638FE8" w:rsidR="00D80B31" w:rsidRDefault="00E5158F">
      <w:r>
        <w:t xml:space="preserve">As shown in section 10.4 of [3], the procedure for releasing the </w:t>
      </w:r>
      <w:proofErr w:type="spellStart"/>
      <w:r>
        <w:t>PSCell</w:t>
      </w:r>
      <w:proofErr w:type="spellEnd"/>
      <w:r>
        <w:t xml:space="preserve">/SN is quite lengthy and requires multiple messages </w:t>
      </w:r>
      <w:r w:rsidR="00276480">
        <w:t xml:space="preserve">to be </w:t>
      </w:r>
      <w:r>
        <w:t xml:space="preserve">exchanged between the UE, MN and SN. </w:t>
      </w:r>
      <w:r w:rsidR="00276480">
        <w:t xml:space="preserve">In certain cases (e.g. for URLLC services) the encountered delay could be too </w:t>
      </w:r>
      <w:proofErr w:type="gramStart"/>
      <w:r w:rsidR="00276480">
        <w:t>long</w:t>
      </w:r>
      <w:proofErr w:type="gramEnd"/>
      <w:r w:rsidR="00276480">
        <w:t xml:space="preserve"> and the UE may experience a S-RLF (if </w:t>
      </w:r>
      <w:proofErr w:type="spellStart"/>
      <w:r w:rsidR="00276480">
        <w:t>PSCell</w:t>
      </w:r>
      <w:proofErr w:type="spellEnd"/>
      <w:r w:rsidR="00276480">
        <w:t xml:space="preserve"> Release or Change is not commanded in time). To mitigate such undesired failure scenario and when the SN/</w:t>
      </w:r>
      <w:proofErr w:type="spellStart"/>
      <w:r w:rsidR="00276480">
        <w:t>PSCell</w:t>
      </w:r>
      <w:proofErr w:type="spellEnd"/>
      <w:r w:rsidR="00276480">
        <w:t xml:space="preserve"> is not needed anymore, the UE can be prepared by the NW with a condition used for releasing the </w:t>
      </w:r>
      <w:proofErr w:type="spellStart"/>
      <w:r w:rsidR="00276480">
        <w:t>PSCell</w:t>
      </w:r>
      <w:proofErr w:type="spellEnd"/>
      <w:r w:rsidR="00276480">
        <w:t xml:space="preserve"> without further signalling with the SN, similarly to how CPC and CPA are</w:t>
      </w:r>
      <w:r w:rsidR="00871CAE">
        <w:t>/will be</w:t>
      </w:r>
      <w:r w:rsidR="00276480">
        <w:t xml:space="preserve"> designed. How exactly this is handled (e.g. bearer remapping</w:t>
      </w:r>
      <w:r w:rsidR="00B0193E">
        <w:t xml:space="preserve"> details</w:t>
      </w:r>
      <w:r w:rsidR="00276480">
        <w:t>) can be further discussed</w:t>
      </w:r>
      <w:r w:rsidR="00B0193E">
        <w:t xml:space="preserve"> as a part of Rel-17 work.</w:t>
      </w:r>
    </w:p>
    <w:p w14:paraId="799F848B" w14:textId="21950401" w:rsidR="00276480" w:rsidRPr="00094C68" w:rsidRDefault="00276480">
      <w:pPr>
        <w:rPr>
          <w:b/>
          <w:bCs/>
        </w:rPr>
      </w:pPr>
      <w:r w:rsidRPr="00094C68">
        <w:rPr>
          <w:b/>
          <w:bCs/>
        </w:rPr>
        <w:t>Proposal 4: Study how to</w:t>
      </w:r>
      <w:r w:rsidR="00B0193E" w:rsidRPr="00094C68">
        <w:rPr>
          <w:b/>
          <w:bCs/>
        </w:rPr>
        <w:t xml:space="preserve"> ensure the UE can </w:t>
      </w:r>
      <w:r w:rsidR="00871CAE">
        <w:rPr>
          <w:b/>
          <w:bCs/>
        </w:rPr>
        <w:t xml:space="preserve">mitigate the S-RLF if </w:t>
      </w:r>
      <w:proofErr w:type="spellStart"/>
      <w:r w:rsidR="00871CAE">
        <w:rPr>
          <w:b/>
          <w:bCs/>
        </w:rPr>
        <w:t>PSCell’s</w:t>
      </w:r>
      <w:proofErr w:type="spellEnd"/>
      <w:r w:rsidR="00871CAE">
        <w:rPr>
          <w:b/>
          <w:bCs/>
        </w:rPr>
        <w:t xml:space="preserve"> quality is deteriorating</w:t>
      </w:r>
      <w:r w:rsidR="00526571">
        <w:rPr>
          <w:b/>
          <w:bCs/>
        </w:rPr>
        <w:t xml:space="preserve"> before it is released.</w:t>
      </w:r>
      <w:r w:rsidR="00526571" w:rsidRPr="000562BB" w:rsidDel="00871CAE">
        <w:rPr>
          <w:b/>
          <w:bCs/>
        </w:rPr>
        <w:t xml:space="preserve"> </w:t>
      </w:r>
    </w:p>
    <w:p w14:paraId="4D01BC30" w14:textId="2000B8D7" w:rsidR="00027B1A" w:rsidRDefault="00027B1A" w:rsidP="00094C68">
      <w:pPr>
        <w:pStyle w:val="Heading2"/>
      </w:pPr>
      <w:r>
        <w:t>3.3</w:t>
      </w:r>
      <w:r w:rsidR="3E4575E3">
        <w:t xml:space="preserve"> </w:t>
      </w:r>
      <w:r>
        <w:tab/>
      </w:r>
      <w:r w:rsidR="00253402">
        <w:t>Achieving a faster CA</w:t>
      </w:r>
      <w:r w:rsidR="004A613C">
        <w:t xml:space="preserve"> setup time in RRC_CONNECTED</w:t>
      </w:r>
    </w:p>
    <w:p w14:paraId="7D16AFE0" w14:textId="7275CCB8" w:rsidR="0065032F" w:rsidRPr="00094C68" w:rsidRDefault="001A3844" w:rsidP="00253402">
      <w:pPr>
        <w:rPr>
          <w:lang w:val="x-none"/>
        </w:rPr>
      </w:pPr>
      <w:r w:rsidRPr="00094C68">
        <w:t>F</w:t>
      </w:r>
      <w:r w:rsidR="00B606F1" w:rsidRPr="00094C68">
        <w:t>or a UE transiting from idle/inactive to connected</w:t>
      </w:r>
      <w:r w:rsidRPr="00094C68">
        <w:t>, Rel-15 LTE and Rel-16 NR introduced</w:t>
      </w:r>
      <w:r w:rsidR="00B606F1" w:rsidRPr="00094C68">
        <w:t xml:space="preserve"> the early measurement reporting (EMR</w:t>
      </w:r>
      <w:r w:rsidR="00DB7B85">
        <w:t xml:space="preserve"> as specified in </w:t>
      </w:r>
      <w:r w:rsidR="00DB7B85" w:rsidRPr="00D9428E">
        <w:t>DCCA Rel-16 WI</w:t>
      </w:r>
      <w:r w:rsidR="00B606F1" w:rsidRPr="00094C68">
        <w:t>), in order to speed-up CA set-up</w:t>
      </w:r>
      <w:r w:rsidR="00883821">
        <w:t xml:space="preserve">, </w:t>
      </w:r>
      <w:r w:rsidR="00B606F1" w:rsidRPr="00094C68">
        <w:t>configuration and activation</w:t>
      </w:r>
      <w:r w:rsidR="00263597">
        <w:t xml:space="preserve"> improving </w:t>
      </w:r>
      <w:r w:rsidR="00DF62EF">
        <w:t>overall latency of the setup procedure</w:t>
      </w:r>
      <w:r w:rsidR="00B606F1" w:rsidRPr="00094C68">
        <w:t xml:space="preserve">. </w:t>
      </w:r>
      <w:r w:rsidR="00DF62EF">
        <w:t>A similar mechanism could also be applied for a</w:t>
      </w:r>
      <w:r w:rsidR="00B606F1">
        <w:t xml:space="preserve"> </w:t>
      </w:r>
      <w:r w:rsidR="6A80B327" w:rsidRPr="00094C68">
        <w:t>UE in</w:t>
      </w:r>
      <w:r w:rsidR="00B606F1">
        <w:t xml:space="preserve"> </w:t>
      </w:r>
      <w:r w:rsidR="00DF62EF">
        <w:t>the</w:t>
      </w:r>
      <w:r w:rsidR="00B606F1" w:rsidRPr="00094C68">
        <w:t xml:space="preserve"> connected mode</w:t>
      </w:r>
      <w:r w:rsidR="00DF62EF">
        <w:t xml:space="preserve"> in order to</w:t>
      </w:r>
      <w:r w:rsidR="002B3E45">
        <w:t xml:space="preserve"> quickly</w:t>
      </w:r>
      <w:r w:rsidR="00DF62EF">
        <w:t xml:space="preserve"> </w:t>
      </w:r>
      <w:r w:rsidR="002B3E45">
        <w:t xml:space="preserve">add </w:t>
      </w:r>
      <w:proofErr w:type="spellStart"/>
      <w:r w:rsidR="002B3E45">
        <w:t>S</w:t>
      </w:r>
      <w:r w:rsidR="00871CAE">
        <w:t>C</w:t>
      </w:r>
      <w:r w:rsidR="002B3E45">
        <w:t>ell</w:t>
      </w:r>
      <w:proofErr w:type="spellEnd"/>
      <w:r w:rsidR="002B3E45">
        <w:t>(s)</w:t>
      </w:r>
      <w:r w:rsidR="00955D54">
        <w:t xml:space="preserve"> leading to latency gains and throughput improvement</w:t>
      </w:r>
      <w:r w:rsidR="2FF02A36" w:rsidRPr="00094C68">
        <w:t xml:space="preserve"> and </w:t>
      </w:r>
      <w:r w:rsidR="00955D54">
        <w:t>further allowing additional</w:t>
      </w:r>
      <w:r w:rsidR="2FF02A36" w:rsidRPr="00094C68">
        <w:t xml:space="preserve"> </w:t>
      </w:r>
      <w:r w:rsidR="00955D54">
        <w:t xml:space="preserve">gains </w:t>
      </w:r>
      <w:r w:rsidR="2FF02A36" w:rsidRPr="00094C68">
        <w:t>for UE power saving</w:t>
      </w:r>
      <w:r w:rsidR="66EEA1BC" w:rsidRPr="00094C68">
        <w:t>.</w:t>
      </w:r>
    </w:p>
    <w:p w14:paraId="676145EA" w14:textId="07F979A5" w:rsidR="006530B9" w:rsidRPr="00094C68" w:rsidRDefault="006530B9" w:rsidP="00094C68">
      <w:pPr>
        <w:rPr>
          <w:b/>
          <w:bCs/>
        </w:rPr>
      </w:pPr>
      <w:r w:rsidRPr="00094C68">
        <w:rPr>
          <w:b/>
          <w:bCs/>
        </w:rPr>
        <w:t>Proposal</w:t>
      </w:r>
      <w:r w:rsidR="00DF35ED">
        <w:rPr>
          <w:b/>
          <w:bCs/>
        </w:rPr>
        <w:t xml:space="preserve"> 5</w:t>
      </w:r>
      <w:r w:rsidRPr="00094C68">
        <w:rPr>
          <w:b/>
          <w:bCs/>
        </w:rPr>
        <w:t xml:space="preserve">: </w:t>
      </w:r>
      <w:r w:rsidR="0022749D">
        <w:rPr>
          <w:b/>
          <w:bCs/>
        </w:rPr>
        <w:t>RAN2 to study CA setup</w:t>
      </w:r>
      <w:r w:rsidR="00871CAE">
        <w:rPr>
          <w:b/>
          <w:bCs/>
        </w:rPr>
        <w:t xml:space="preserve"> improvements</w:t>
      </w:r>
      <w:r w:rsidR="0022749D">
        <w:rPr>
          <w:b/>
          <w:bCs/>
        </w:rPr>
        <w:t xml:space="preserve"> for UE</w:t>
      </w:r>
      <w:r w:rsidR="00871CAE">
        <w:rPr>
          <w:b/>
          <w:bCs/>
        </w:rPr>
        <w:t>s</w:t>
      </w:r>
      <w:r w:rsidR="0022749D">
        <w:rPr>
          <w:b/>
          <w:bCs/>
        </w:rPr>
        <w:t xml:space="preserve"> in connected mode.</w:t>
      </w:r>
    </w:p>
    <w:p w14:paraId="4FD929BF" w14:textId="11685711" w:rsidR="006530B9" w:rsidRDefault="006530B9" w:rsidP="006530B9">
      <w:pPr>
        <w:pStyle w:val="Heading2"/>
      </w:pPr>
      <w:r>
        <w:t>3.4</w:t>
      </w:r>
      <w:r>
        <w:tab/>
        <w:t>Achieving a faster DC</w:t>
      </w:r>
      <w:r w:rsidR="004A613C">
        <w:t xml:space="preserve"> setup time in RRC_CONNECTED</w:t>
      </w:r>
    </w:p>
    <w:p w14:paraId="762AFD80" w14:textId="08BC6C63" w:rsidR="00027B1A" w:rsidRPr="00094C68" w:rsidRDefault="00DF77B6" w:rsidP="00094C68">
      <w:pPr>
        <w:jc w:val="both"/>
        <w:rPr>
          <w:lang w:val="x-none"/>
        </w:rPr>
      </w:pPr>
      <w:r w:rsidRPr="00571A9D">
        <w:t>CHO only supports measurement event</w:t>
      </w:r>
      <w:r>
        <w:t>s</w:t>
      </w:r>
      <w:r w:rsidRPr="00571A9D">
        <w:t xml:space="preserve"> for </w:t>
      </w:r>
      <w:r>
        <w:t>t</w:t>
      </w:r>
      <w:r w:rsidRPr="00571A9D">
        <w:t xml:space="preserve">arget </w:t>
      </w:r>
      <w:proofErr w:type="spellStart"/>
      <w:r w:rsidRPr="00571A9D">
        <w:t>PCell</w:t>
      </w:r>
      <w:proofErr w:type="spellEnd"/>
      <w:r w:rsidRPr="00571A9D">
        <w:t xml:space="preserve"> </w:t>
      </w:r>
      <w:r w:rsidR="00A45700">
        <w:t>as part of conditional execution</w:t>
      </w:r>
      <w:r w:rsidRPr="00571A9D">
        <w:t>.</w:t>
      </w:r>
      <w:r w:rsidR="00727557">
        <w:t xml:space="preserve"> </w:t>
      </w:r>
      <w:r w:rsidR="00F56401">
        <w:t xml:space="preserve">During conditional execution </w:t>
      </w:r>
      <w:r w:rsidR="0066100E">
        <w:t xml:space="preserve">it would be beneficial if </w:t>
      </w:r>
      <w:r w:rsidR="00F56401">
        <w:t xml:space="preserve">the </w:t>
      </w:r>
      <w:r w:rsidR="00266745">
        <w:t xml:space="preserve">radio conditions of the </w:t>
      </w:r>
      <w:proofErr w:type="spellStart"/>
      <w:r w:rsidR="00266745">
        <w:t>PSCell</w:t>
      </w:r>
      <w:proofErr w:type="spellEnd"/>
      <w:r w:rsidR="00266745">
        <w:t xml:space="preserve"> </w:t>
      </w:r>
      <w:r w:rsidR="00FA059A">
        <w:t xml:space="preserve">are </w:t>
      </w:r>
      <w:proofErr w:type="gramStart"/>
      <w:r w:rsidR="00266745">
        <w:t>taken into account</w:t>
      </w:r>
      <w:proofErr w:type="gramEnd"/>
      <w:r w:rsidR="00266745">
        <w:t xml:space="preserve"> </w:t>
      </w:r>
      <w:r w:rsidR="00FA059A">
        <w:t xml:space="preserve">so that the SCG </w:t>
      </w:r>
      <w:r w:rsidR="00470284">
        <w:t xml:space="preserve">addition may be performed in a reliable manner, i.e. avoiding radio link failure. </w:t>
      </w:r>
      <w:r w:rsidR="00137AE9">
        <w:t>Moreover</w:t>
      </w:r>
      <w:r w:rsidR="00646B2B">
        <w:t xml:space="preserve">, </w:t>
      </w:r>
      <w:proofErr w:type="spellStart"/>
      <w:r w:rsidR="00646B2B">
        <w:t>i</w:t>
      </w:r>
      <w:proofErr w:type="spellEnd"/>
      <w:r w:rsidR="00BE0F0E" w:rsidRPr="006530B9">
        <w:rPr>
          <w:lang w:val="en-US"/>
        </w:rPr>
        <w:t>t would</w:t>
      </w:r>
      <w:r w:rsidR="0059176C">
        <w:rPr>
          <w:lang w:val="en-US"/>
        </w:rPr>
        <w:t xml:space="preserve"> also</w:t>
      </w:r>
      <w:r w:rsidR="00BE0F0E" w:rsidRPr="006530B9">
        <w:rPr>
          <w:lang w:val="en-US"/>
        </w:rPr>
        <w:t xml:space="preserve"> be desirable to add </w:t>
      </w:r>
      <w:r w:rsidR="00505AEC">
        <w:rPr>
          <w:lang w:val="en-US"/>
        </w:rPr>
        <w:t>an</w:t>
      </w:r>
      <w:r w:rsidR="00BE0F0E" w:rsidRPr="006530B9">
        <w:rPr>
          <w:lang w:val="en-US"/>
        </w:rPr>
        <w:t xml:space="preserve"> SCG</w:t>
      </w:r>
      <w:r w:rsidR="00505AEC">
        <w:rPr>
          <w:lang w:val="en-US"/>
        </w:rPr>
        <w:t xml:space="preserve"> (among a potential candidate set of one or more </w:t>
      </w:r>
      <w:proofErr w:type="spellStart"/>
      <w:r w:rsidR="00505AEC">
        <w:rPr>
          <w:lang w:val="en-US"/>
        </w:rPr>
        <w:t>PSCell</w:t>
      </w:r>
      <w:proofErr w:type="spellEnd"/>
      <w:r w:rsidR="00505AEC">
        <w:rPr>
          <w:lang w:val="en-US"/>
        </w:rPr>
        <w:t>(s))</w:t>
      </w:r>
      <w:r w:rsidR="00B630F9">
        <w:rPr>
          <w:lang w:val="en-US"/>
        </w:rPr>
        <w:t xml:space="preserve"> as early as possible</w:t>
      </w:r>
      <w:r w:rsidR="00B77AAD">
        <w:rPr>
          <w:lang w:val="en-US"/>
        </w:rPr>
        <w:t xml:space="preserve"> </w:t>
      </w:r>
      <w:r w:rsidR="0046557C">
        <w:rPr>
          <w:lang w:val="en-US"/>
        </w:rPr>
        <w:t>when the UE is</w:t>
      </w:r>
      <w:r w:rsidR="00B606F1" w:rsidRPr="00A750A5">
        <w:rPr>
          <w:lang w:val="en-US"/>
        </w:rPr>
        <w:t xml:space="preserve"> </w:t>
      </w:r>
      <w:r w:rsidR="00FE0251">
        <w:rPr>
          <w:lang w:val="en-US"/>
        </w:rPr>
        <w:t>performing CHO</w:t>
      </w:r>
      <w:r w:rsidR="00D370AA">
        <w:rPr>
          <w:lang w:val="en-US"/>
        </w:rPr>
        <w:t xml:space="preserve"> </w:t>
      </w:r>
      <w:r w:rsidR="00871667">
        <w:rPr>
          <w:lang w:val="en-US"/>
        </w:rPr>
        <w:t xml:space="preserve">to allow the UE to </w:t>
      </w:r>
      <w:r w:rsidR="0059176C">
        <w:rPr>
          <w:lang w:val="en-US"/>
        </w:rPr>
        <w:t>enter</w:t>
      </w:r>
      <w:r w:rsidR="00871667">
        <w:rPr>
          <w:lang w:val="en-US"/>
        </w:rPr>
        <w:t xml:space="preserve"> dual connectivity</w:t>
      </w:r>
      <w:r w:rsidR="00B06797">
        <w:rPr>
          <w:lang w:val="en-US"/>
        </w:rPr>
        <w:t xml:space="preserve"> immediately upon CHO.</w:t>
      </w:r>
      <w:r w:rsidR="00B01BDA">
        <w:rPr>
          <w:lang w:val="en-US"/>
        </w:rPr>
        <w:t xml:space="preserve"> This </w:t>
      </w:r>
      <w:r w:rsidR="0087405A">
        <w:rPr>
          <w:lang w:val="en-US"/>
        </w:rPr>
        <w:t>require</w:t>
      </w:r>
      <w:r w:rsidR="003E78CC">
        <w:rPr>
          <w:lang w:val="en-US"/>
        </w:rPr>
        <w:t>s</w:t>
      </w:r>
      <w:r w:rsidR="00B01BDA">
        <w:rPr>
          <w:lang w:val="en-US"/>
        </w:rPr>
        <w:t xml:space="preserve"> </w:t>
      </w:r>
      <w:r w:rsidR="00941D54">
        <w:rPr>
          <w:lang w:val="en-US"/>
        </w:rPr>
        <w:t xml:space="preserve">extending the CHO feature for </w:t>
      </w:r>
      <w:r w:rsidR="008B4AD9">
        <w:rPr>
          <w:lang w:val="en-US"/>
        </w:rPr>
        <w:t>MR-DC deployments.</w:t>
      </w:r>
      <w:r w:rsidR="00FE0251">
        <w:rPr>
          <w:lang w:val="en-US"/>
        </w:rPr>
        <w:t xml:space="preserve"> </w:t>
      </w:r>
    </w:p>
    <w:p w14:paraId="6CD70DED" w14:textId="3F96C358" w:rsidR="006530B9" w:rsidRDefault="006530B9">
      <w:pPr>
        <w:rPr>
          <w:b/>
        </w:rPr>
      </w:pPr>
      <w:r w:rsidRPr="00CC6914">
        <w:rPr>
          <w:b/>
          <w:bCs/>
        </w:rPr>
        <w:t>Proposal</w:t>
      </w:r>
      <w:r w:rsidR="00E22D06" w:rsidRPr="00E22D06">
        <w:rPr>
          <w:b/>
          <w:bCs/>
        </w:rPr>
        <w:t xml:space="preserve"> </w:t>
      </w:r>
      <w:r w:rsidR="00DF35ED">
        <w:rPr>
          <w:b/>
          <w:bCs/>
        </w:rPr>
        <w:t>6</w:t>
      </w:r>
      <w:r w:rsidR="00E22D06" w:rsidRPr="00E22D06">
        <w:rPr>
          <w:b/>
          <w:bCs/>
        </w:rPr>
        <w:t xml:space="preserve">: </w:t>
      </w:r>
      <w:r w:rsidRPr="00CC6914">
        <w:rPr>
          <w:b/>
          <w:bCs/>
        </w:rPr>
        <w:t xml:space="preserve"> </w:t>
      </w:r>
      <w:r w:rsidR="006467C8">
        <w:rPr>
          <w:b/>
          <w:bCs/>
        </w:rPr>
        <w:t xml:space="preserve">RAN2 to study </w:t>
      </w:r>
      <w:r w:rsidR="009177C6">
        <w:rPr>
          <w:b/>
          <w:bCs/>
        </w:rPr>
        <w:t>extending CHO feature to allow SCG addit</w:t>
      </w:r>
      <w:r w:rsidR="000A01BF">
        <w:rPr>
          <w:b/>
          <w:bCs/>
        </w:rPr>
        <w:t>ion in MR-DC deployments</w:t>
      </w:r>
      <w:r w:rsidR="009177C6">
        <w:rPr>
          <w:b/>
          <w:bCs/>
        </w:rPr>
        <w:t>.</w:t>
      </w:r>
    </w:p>
    <w:p w14:paraId="4EF85558" w14:textId="6D8E693C" w:rsidR="00274212" w:rsidRPr="00094C68" w:rsidRDefault="00274212" w:rsidP="00094C68">
      <w:pPr>
        <w:pStyle w:val="Heading2"/>
        <w:rPr>
          <w:lang w:val="x-none"/>
        </w:rPr>
      </w:pPr>
      <w:r>
        <w:t>3.5</w:t>
      </w:r>
      <w:r>
        <w:tab/>
      </w:r>
      <w:r w:rsidR="004A613C">
        <w:t xml:space="preserve">Faster DC setup time </w:t>
      </w:r>
      <w:r w:rsidR="00FF1717">
        <w:t>during CHO</w:t>
      </w:r>
    </w:p>
    <w:p w14:paraId="007D5E3B" w14:textId="2BDF9BFA" w:rsidR="00027B1A" w:rsidRPr="0070012E" w:rsidRDefault="4057DFEE" w:rsidP="00094C68">
      <w:r>
        <w:t>In legacy</w:t>
      </w:r>
      <w:r w:rsidR="00027B1A" w:rsidRPr="00094C68">
        <w:t xml:space="preserve"> </w:t>
      </w:r>
      <w:r w:rsidR="00027B1A">
        <w:t xml:space="preserve">CHO target node does not know the status of the measurements </w:t>
      </w:r>
      <w:r w:rsidR="5DE91F4C">
        <w:t>performed</w:t>
      </w:r>
      <w:r w:rsidR="00027B1A">
        <w:t xml:space="preserve"> by the UE</w:t>
      </w:r>
      <w:r w:rsidR="4CC193D1">
        <w:t>, related to target secondary cells</w:t>
      </w:r>
      <w:r w:rsidR="00027B1A">
        <w:t xml:space="preserve">. </w:t>
      </w:r>
      <w:r w:rsidR="4E2BF3EC">
        <w:t xml:space="preserve">SN can be added by target </w:t>
      </w:r>
      <w:proofErr w:type="spellStart"/>
      <w:r w:rsidR="4E2BF3EC">
        <w:t>PCell</w:t>
      </w:r>
      <w:proofErr w:type="spellEnd"/>
      <w:r w:rsidR="4E2BF3EC">
        <w:t xml:space="preserve"> of handover only after 1) it configures the UE with measurement for </w:t>
      </w:r>
      <w:proofErr w:type="spellStart"/>
      <w:r w:rsidR="4E2BF3EC">
        <w:t>PSCell</w:t>
      </w:r>
      <w:proofErr w:type="spellEnd"/>
      <w:r w:rsidR="4E2BF3EC">
        <w:t xml:space="preserve"> and 2) obtains measurements which may take some time delaying the DC configuration. This delay in setting up the SN may cause loss in throughput and reliability of the radio link</w:t>
      </w:r>
    </w:p>
    <w:p w14:paraId="334125E8" w14:textId="3C6F8848" w:rsidR="7518F4D1" w:rsidRPr="00094C68" w:rsidRDefault="7518F4D1" w:rsidP="00094C68">
      <w:pPr>
        <w:rPr>
          <w:b/>
          <w:bCs/>
        </w:rPr>
      </w:pPr>
      <w:r w:rsidRPr="00094C68">
        <w:rPr>
          <w:b/>
          <w:bCs/>
        </w:rPr>
        <w:t>Proposal</w:t>
      </w:r>
      <w:r w:rsidR="4FE74B5F" w:rsidRPr="61975C86">
        <w:rPr>
          <w:b/>
          <w:bCs/>
        </w:rPr>
        <w:t xml:space="preserve"> </w:t>
      </w:r>
      <w:r w:rsidR="00DF35ED">
        <w:rPr>
          <w:b/>
          <w:bCs/>
        </w:rPr>
        <w:t>7</w:t>
      </w:r>
      <w:r w:rsidRPr="00094C68">
        <w:rPr>
          <w:b/>
          <w:bCs/>
        </w:rPr>
        <w:t>:</w:t>
      </w:r>
      <w:r w:rsidRPr="61975C86">
        <w:t xml:space="preserve">  </w:t>
      </w:r>
      <w:r w:rsidRPr="61975C86">
        <w:rPr>
          <w:b/>
          <w:bCs/>
        </w:rPr>
        <w:t xml:space="preserve">RAN2 is asked to consider studying the options for speeding up </w:t>
      </w:r>
      <w:proofErr w:type="spellStart"/>
      <w:r w:rsidR="6AF1583C" w:rsidRPr="61975C86">
        <w:rPr>
          <w:b/>
          <w:bCs/>
        </w:rPr>
        <w:t>SCell</w:t>
      </w:r>
      <w:proofErr w:type="spellEnd"/>
      <w:r w:rsidR="6AF1583C" w:rsidRPr="61975C86">
        <w:rPr>
          <w:b/>
          <w:bCs/>
        </w:rPr>
        <w:t>(s)/</w:t>
      </w:r>
      <w:r w:rsidRPr="61975C86">
        <w:rPr>
          <w:b/>
          <w:bCs/>
        </w:rPr>
        <w:t>SN setup</w:t>
      </w:r>
      <w:r w:rsidR="7F3CE2AD" w:rsidRPr="61975C86">
        <w:rPr>
          <w:b/>
          <w:bCs/>
        </w:rPr>
        <w:t xml:space="preserve">, in </w:t>
      </w:r>
      <w:r w:rsidR="7228A3B7" w:rsidRPr="61975C86">
        <w:rPr>
          <w:b/>
          <w:bCs/>
        </w:rPr>
        <w:t>scenarios</w:t>
      </w:r>
      <w:r w:rsidR="7F3CE2AD" w:rsidRPr="61975C86">
        <w:rPr>
          <w:b/>
          <w:bCs/>
        </w:rPr>
        <w:t xml:space="preserve"> with or without mobility aspect </w:t>
      </w:r>
      <w:proofErr w:type="gramStart"/>
      <w:r w:rsidR="7F3CE2AD" w:rsidRPr="61975C86">
        <w:rPr>
          <w:b/>
          <w:bCs/>
        </w:rPr>
        <w:t>taken into account</w:t>
      </w:r>
      <w:proofErr w:type="gramEnd"/>
      <w:r w:rsidR="7F3CE2AD" w:rsidRPr="61975C86">
        <w:rPr>
          <w:b/>
          <w:bCs/>
        </w:rPr>
        <w:t>.</w:t>
      </w:r>
    </w:p>
    <w:p w14:paraId="7705F578" w14:textId="1DCC106B" w:rsidR="00DC36DE" w:rsidRDefault="00DC36DE" w:rsidP="00DC36DE">
      <w:pPr>
        <w:pStyle w:val="Heading2"/>
      </w:pPr>
      <w:r>
        <w:t>3.</w:t>
      </w:r>
      <w:r w:rsidR="00DF35ED">
        <w:t>6</w:t>
      </w:r>
      <w:r>
        <w:tab/>
      </w:r>
      <w:r w:rsidR="00A847E5">
        <w:t>Data Forwarding</w:t>
      </w:r>
      <w:r w:rsidR="007A0BAA">
        <w:t xml:space="preserve"> in </w:t>
      </w:r>
      <w:r w:rsidR="009A129D">
        <w:t xml:space="preserve">Inter-SN </w:t>
      </w:r>
      <w:r w:rsidR="00AF3F3F">
        <w:t>CPC</w:t>
      </w:r>
    </w:p>
    <w:p w14:paraId="69B9C73B" w14:textId="746C7829" w:rsidR="00AC4EA7" w:rsidRPr="00F65010" w:rsidRDefault="00FA3058" w:rsidP="00764599">
      <w:r>
        <w:t>In</w:t>
      </w:r>
      <w:r w:rsidR="009A129D">
        <w:t xml:space="preserve"> i</w:t>
      </w:r>
      <w:r w:rsidR="007A56DE">
        <w:t>nter-SN</w:t>
      </w:r>
      <w:r>
        <w:t xml:space="preserve"> CPC, </w:t>
      </w:r>
      <w:r w:rsidR="00BD750D">
        <w:t>a</w:t>
      </w:r>
      <w:r w:rsidR="003D1D3C">
        <w:t xml:space="preserve"> serving </w:t>
      </w:r>
      <w:r w:rsidR="00BD750D">
        <w:t>S</w:t>
      </w:r>
      <w:r w:rsidR="00815E98">
        <w:t xml:space="preserve">econdary </w:t>
      </w:r>
      <w:r w:rsidR="00BD750D">
        <w:t>N</w:t>
      </w:r>
      <w:r w:rsidR="00815E98">
        <w:t xml:space="preserve">ode (SN) </w:t>
      </w:r>
      <w:r w:rsidR="00BD750D">
        <w:t xml:space="preserve">1 </w:t>
      </w:r>
      <w:r w:rsidR="00090B9A">
        <w:t>has two option</w:t>
      </w:r>
      <w:r w:rsidR="00CE1882">
        <w:t>s for triggering data forwardin</w:t>
      </w:r>
      <w:r w:rsidR="00BD750D">
        <w:t xml:space="preserve">g to </w:t>
      </w:r>
      <w:r w:rsidR="00513552">
        <w:t xml:space="preserve">a </w:t>
      </w:r>
      <w:r w:rsidR="00E94658">
        <w:t>target SN2. In option 1, the source SN initiate</w:t>
      </w:r>
      <w:r w:rsidR="00BC4132">
        <w:t>s</w:t>
      </w:r>
      <w:r w:rsidR="009B3B63">
        <w:t>, upon configu</w:t>
      </w:r>
      <w:r w:rsidR="000919E7">
        <w:t>ring the UE with CPC,</w:t>
      </w:r>
      <w:r w:rsidR="00BC4132">
        <w:t xml:space="preserve"> an early</w:t>
      </w:r>
      <w:r w:rsidR="00E94658">
        <w:t xml:space="preserve"> data forwarding to all </w:t>
      </w:r>
      <w:r w:rsidR="00BC4132">
        <w:t xml:space="preserve">SNs serving candidates </w:t>
      </w:r>
      <w:proofErr w:type="spellStart"/>
      <w:r w:rsidR="00BC4132">
        <w:t>PSCells</w:t>
      </w:r>
      <w:proofErr w:type="spellEnd"/>
      <w:r w:rsidR="0027047D">
        <w:t xml:space="preserve">. In option 2, the source SN initiates data forwarding </w:t>
      </w:r>
      <w:r w:rsidR="00076957">
        <w:t>to the sele</w:t>
      </w:r>
      <w:r w:rsidR="00662AA9">
        <w:t>cte</w:t>
      </w:r>
      <w:r w:rsidR="00076957">
        <w:t xml:space="preserve">d </w:t>
      </w:r>
      <w:r w:rsidR="00CB0E16">
        <w:t xml:space="preserve">target </w:t>
      </w:r>
      <w:r w:rsidR="00076957">
        <w:t xml:space="preserve">SN2 </w:t>
      </w:r>
      <w:r w:rsidR="0027047D">
        <w:t xml:space="preserve">only when the </w:t>
      </w:r>
      <w:r w:rsidR="00752D6A">
        <w:t xml:space="preserve">UE </w:t>
      </w:r>
      <w:r w:rsidR="0061398C">
        <w:t xml:space="preserve">completes the access to the target </w:t>
      </w:r>
      <w:proofErr w:type="spellStart"/>
      <w:r w:rsidR="0061398C">
        <w:t>PSC</w:t>
      </w:r>
      <w:r w:rsidR="00D26BF9">
        <w:t>ell</w:t>
      </w:r>
      <w:proofErr w:type="spellEnd"/>
      <w:r w:rsidR="00D26BF9">
        <w:t xml:space="preserve">. </w:t>
      </w:r>
      <w:r w:rsidR="006232B8">
        <w:t>In option 1</w:t>
      </w:r>
      <w:r w:rsidR="00D26BF9">
        <w:t>, the</w:t>
      </w:r>
      <w:r w:rsidR="006232B8">
        <w:t xml:space="preserve"> early</w:t>
      </w:r>
      <w:r w:rsidR="00D26BF9">
        <w:t xml:space="preserve"> data forwarding </w:t>
      </w:r>
      <w:r w:rsidR="00DF1F73">
        <w:t>ensures that the target SN</w:t>
      </w:r>
      <w:r w:rsidR="00016F77">
        <w:t>2</w:t>
      </w:r>
      <w:r w:rsidR="00DF1F73">
        <w:t xml:space="preserve"> has the data </w:t>
      </w:r>
      <w:r w:rsidR="00A35C8B">
        <w:t>a</w:t>
      </w:r>
      <w:r w:rsidR="00DF1F73">
        <w:t>vailable when the UE completes the random access at the expense o</w:t>
      </w:r>
      <w:r w:rsidR="00D4733D">
        <w:t>f</w:t>
      </w:r>
      <w:r w:rsidR="00DF1F73">
        <w:t xml:space="preserve"> an increas</w:t>
      </w:r>
      <w:r w:rsidR="00D4733D">
        <w:t>e</w:t>
      </w:r>
      <w:r w:rsidR="00DF1F73">
        <w:t xml:space="preserve"> in signalling overhead over the </w:t>
      </w:r>
      <w:proofErr w:type="spellStart"/>
      <w:r w:rsidR="00DF1F73">
        <w:t>Xn</w:t>
      </w:r>
      <w:proofErr w:type="spellEnd"/>
      <w:r w:rsidR="00DF1F73">
        <w:t xml:space="preserve"> interface and </w:t>
      </w:r>
      <w:r w:rsidR="00BD4126">
        <w:t xml:space="preserve">an unnecessary </w:t>
      </w:r>
      <w:r w:rsidR="00DF1F73">
        <w:t xml:space="preserve">processing/buffering </w:t>
      </w:r>
      <w:r w:rsidR="00A35C8B">
        <w:t>of the forwarded packets</w:t>
      </w:r>
      <w:r w:rsidR="00BD4126">
        <w:t xml:space="preserve"> by</w:t>
      </w:r>
      <w:r w:rsidR="0056045A">
        <w:t xml:space="preserve"> the</w:t>
      </w:r>
      <w:r w:rsidR="00BD4126">
        <w:t xml:space="preserve"> non-</w:t>
      </w:r>
      <w:r w:rsidR="00630AE5">
        <w:t xml:space="preserve">accessed </w:t>
      </w:r>
      <w:r w:rsidR="00BD4126">
        <w:t>target SNs.</w:t>
      </w:r>
      <w:r w:rsidR="0014603C">
        <w:t xml:space="preserve"> On the other hand, the late date </w:t>
      </w:r>
      <w:r w:rsidR="000459FD">
        <w:t>forwarding</w:t>
      </w:r>
      <w:r w:rsidR="00D01FF8">
        <w:t xml:space="preserve"> of option 2 addresses the drawbacks of Option </w:t>
      </w:r>
      <w:r w:rsidR="00EA5C79">
        <w:t>1</w:t>
      </w:r>
      <w:r w:rsidR="001B5D76">
        <w:t xml:space="preserve"> </w:t>
      </w:r>
      <w:r w:rsidR="009B7C0B">
        <w:t xml:space="preserve">but causes an </w:t>
      </w:r>
      <w:r w:rsidR="00C30FDB">
        <w:t xml:space="preserve">additional latency </w:t>
      </w:r>
      <w:r w:rsidR="000D5759">
        <w:t xml:space="preserve">to </w:t>
      </w:r>
      <w:r w:rsidR="00C30FDB">
        <w:t xml:space="preserve">user plane as </w:t>
      </w:r>
      <w:r w:rsidR="004A7AA7">
        <w:t>data forwarding is</w:t>
      </w:r>
      <w:r w:rsidR="00BD61DA">
        <w:t xml:space="preserve"> initiated only after </w:t>
      </w:r>
      <w:r w:rsidR="00B156F4">
        <w:t>access to the selected target SN is completed.</w:t>
      </w:r>
      <w:r w:rsidR="006E6D8A">
        <w:t xml:space="preserve"> </w:t>
      </w:r>
      <w:r w:rsidR="004F33FB">
        <w:t xml:space="preserve">Therefore, </w:t>
      </w:r>
      <w:r w:rsidR="006E6D8A">
        <w:t xml:space="preserve">RAN2 is asked to consider solutions that enable on-time data forwarding </w:t>
      </w:r>
      <w:r w:rsidR="008D78B5">
        <w:t>to the selected target SN</w:t>
      </w:r>
      <w:r w:rsidR="00C22E81">
        <w:t xml:space="preserve"> </w:t>
      </w:r>
      <w:r w:rsidR="006E6D8A">
        <w:t xml:space="preserve">and </w:t>
      </w:r>
      <w:r w:rsidR="00E1418C">
        <w:t>release</w:t>
      </w:r>
      <w:r w:rsidR="005A2A56">
        <w:t>, as early as possible, the</w:t>
      </w:r>
      <w:r w:rsidR="00E1418C">
        <w:t xml:space="preserve"> </w:t>
      </w:r>
      <w:r w:rsidR="00E62AE0">
        <w:t xml:space="preserve">prepared </w:t>
      </w:r>
      <w:r w:rsidR="00FE32F8">
        <w:t xml:space="preserve">but non-accessed </w:t>
      </w:r>
      <w:r w:rsidR="00E62AE0">
        <w:t xml:space="preserve">target </w:t>
      </w:r>
      <w:proofErr w:type="spellStart"/>
      <w:r w:rsidR="00E62AE0">
        <w:t>PSCells</w:t>
      </w:r>
      <w:proofErr w:type="spellEnd"/>
      <w:r w:rsidR="004F33FB">
        <w:t>.</w:t>
      </w:r>
      <w:r w:rsidR="00526571">
        <w:t xml:space="preserve"> A cooperation with RAN WG3 on these matters is expected.</w:t>
      </w:r>
    </w:p>
    <w:p w14:paraId="2EBC697D" w14:textId="6D933020" w:rsidR="004F33FB" w:rsidRDefault="004F33FB" w:rsidP="00764599">
      <w:pPr>
        <w:rPr>
          <w:b/>
          <w:bCs/>
        </w:rPr>
      </w:pPr>
      <w:r w:rsidRPr="00094C68">
        <w:rPr>
          <w:b/>
          <w:bCs/>
        </w:rPr>
        <w:t xml:space="preserve">Proposal </w:t>
      </w:r>
      <w:r w:rsidR="00DF35ED">
        <w:rPr>
          <w:b/>
          <w:bCs/>
        </w:rPr>
        <w:t>8</w:t>
      </w:r>
      <w:r w:rsidRPr="00094C68">
        <w:rPr>
          <w:b/>
          <w:bCs/>
        </w:rPr>
        <w:t xml:space="preserve">: RAN2 is asked to consider on-time data forwarding </w:t>
      </w:r>
      <w:r w:rsidR="00C22E81">
        <w:rPr>
          <w:b/>
          <w:bCs/>
        </w:rPr>
        <w:t>to the selected target S</w:t>
      </w:r>
      <w:r w:rsidR="00CE5D95">
        <w:rPr>
          <w:b/>
          <w:bCs/>
        </w:rPr>
        <w:t>N in</w:t>
      </w:r>
      <w:r w:rsidR="006422AA" w:rsidRPr="00094C68">
        <w:rPr>
          <w:b/>
          <w:bCs/>
        </w:rPr>
        <w:t xml:space="preserve"> inter-SN CPC </w:t>
      </w:r>
      <w:r w:rsidRPr="00094C68">
        <w:rPr>
          <w:b/>
          <w:bCs/>
        </w:rPr>
        <w:t xml:space="preserve">and </w:t>
      </w:r>
      <w:r w:rsidR="005A2A56" w:rsidRPr="00094C68">
        <w:rPr>
          <w:b/>
          <w:bCs/>
        </w:rPr>
        <w:t>release</w:t>
      </w:r>
      <w:r w:rsidR="000562BB">
        <w:rPr>
          <w:b/>
          <w:bCs/>
        </w:rPr>
        <w:t>. A cooperation with RAN3 is required</w:t>
      </w:r>
      <w:r w:rsidR="0087619E" w:rsidRPr="00094C68">
        <w:rPr>
          <w:b/>
          <w:bCs/>
        </w:rPr>
        <w:t>.</w:t>
      </w:r>
    </w:p>
    <w:p w14:paraId="0FB96288" w14:textId="7F351225" w:rsidR="000E2C5E" w:rsidRDefault="000E2C5E" w:rsidP="000E2C5E">
      <w:pPr>
        <w:pStyle w:val="Heading2"/>
      </w:pPr>
      <w:r>
        <w:t>3.</w:t>
      </w:r>
      <w:r w:rsidR="00DF35ED">
        <w:t>7</w:t>
      </w:r>
      <w:r>
        <w:tab/>
      </w:r>
      <w:r w:rsidR="00434E44">
        <w:t>RRC Reconfiguration</w:t>
      </w:r>
      <w:r w:rsidR="001A52B9">
        <w:t xml:space="preserve"> during CPC</w:t>
      </w:r>
    </w:p>
    <w:p w14:paraId="545D3923" w14:textId="6984C3C4" w:rsidR="000E2C5E" w:rsidRDefault="00A90409" w:rsidP="00764599">
      <w:r>
        <w:t xml:space="preserve">In MR-DC, the UE continues to receive RRC Reconfiguration messages </w:t>
      </w:r>
      <w:r w:rsidR="00210853">
        <w:t xml:space="preserve">from the MN while </w:t>
      </w:r>
      <w:r w:rsidR="00CA111D">
        <w:t>executing CPC</w:t>
      </w:r>
      <w:r w:rsidR="007646B3">
        <w:t>. It has been agreed in Rel. 16 that the UE</w:t>
      </w:r>
      <w:r w:rsidR="00DB46A8">
        <w:t xml:space="preserve"> </w:t>
      </w:r>
      <w:r w:rsidR="007E2E12">
        <w:t>should finalize the execution of the on-going CPC</w:t>
      </w:r>
      <w:r w:rsidR="007E4E48">
        <w:t xml:space="preserve"> before processing the RRC Reconfiguration that is received from MN.</w:t>
      </w:r>
      <w:r w:rsidR="009F564B">
        <w:t xml:space="preserve"> In many cases, the RRC Reconfiguration</w:t>
      </w:r>
      <w:r w:rsidR="004B7E44">
        <w:t xml:space="preserve"> received f</w:t>
      </w:r>
      <w:r w:rsidR="003650F8">
        <w:t>rom MN</w:t>
      </w:r>
      <w:r w:rsidR="009F564B">
        <w:t xml:space="preserve"> </w:t>
      </w:r>
      <w:r w:rsidR="003258D8">
        <w:t>may depend</w:t>
      </w:r>
      <w:r w:rsidR="00F74CD1">
        <w:t xml:space="preserve"> on</w:t>
      </w:r>
      <w:r w:rsidR="003258D8">
        <w:t xml:space="preserve"> the current SCG configuration before the CPC is executed, e.g., </w:t>
      </w:r>
      <w:r w:rsidR="003650F8">
        <w:t>providing delta configurati</w:t>
      </w:r>
      <w:r w:rsidR="00027826">
        <w:t>on</w:t>
      </w:r>
      <w:r w:rsidR="007A26DF">
        <w:t>,</w:t>
      </w:r>
      <w:r w:rsidR="00F90AC6">
        <w:t xml:space="preserve"> and consequently, the UE may fail to comply with RRC Reconfiguration </w:t>
      </w:r>
      <w:r w:rsidR="00096BEF">
        <w:t>leading to reconfiguration failure and re-establishment.</w:t>
      </w:r>
      <w:r w:rsidR="005D75A3">
        <w:t xml:space="preserve"> </w:t>
      </w:r>
      <w:r w:rsidR="003F0E8D">
        <w:t xml:space="preserve">RAN2 is asked to consider solutions that </w:t>
      </w:r>
      <w:r w:rsidR="00EE632D">
        <w:t xml:space="preserve">can </w:t>
      </w:r>
      <w:r w:rsidR="003F0E8D">
        <w:t>avoid th</w:t>
      </w:r>
      <w:r w:rsidR="00EE632D">
        <w:t>e</w:t>
      </w:r>
      <w:r w:rsidR="003F0E8D">
        <w:t>se unnecessary reconfiguration</w:t>
      </w:r>
      <w:r w:rsidR="00EE632D">
        <w:t xml:space="preserve"> failures and re-establishment.</w:t>
      </w:r>
    </w:p>
    <w:p w14:paraId="22251D18" w14:textId="5FF25F97" w:rsidR="001D3A1F" w:rsidRDefault="001D3A1F" w:rsidP="001D3A1F">
      <w:pPr>
        <w:rPr>
          <w:b/>
          <w:bCs/>
        </w:rPr>
      </w:pPr>
      <w:r w:rsidRPr="00094C68">
        <w:rPr>
          <w:b/>
          <w:bCs/>
        </w:rPr>
        <w:t xml:space="preserve">Proposal </w:t>
      </w:r>
      <w:r w:rsidR="00DF35ED">
        <w:rPr>
          <w:b/>
          <w:bCs/>
        </w:rPr>
        <w:t>9</w:t>
      </w:r>
      <w:r w:rsidRPr="00094C68">
        <w:rPr>
          <w:b/>
          <w:bCs/>
        </w:rPr>
        <w:t xml:space="preserve">: RAN2 is asked to consider </w:t>
      </w:r>
      <w:r w:rsidR="003C1B2B">
        <w:rPr>
          <w:b/>
          <w:bCs/>
        </w:rPr>
        <w:t xml:space="preserve">the </w:t>
      </w:r>
      <w:r w:rsidRPr="00094C68">
        <w:rPr>
          <w:b/>
          <w:bCs/>
        </w:rPr>
        <w:t>avoid</w:t>
      </w:r>
      <w:r w:rsidR="003C1B2B">
        <w:rPr>
          <w:b/>
          <w:bCs/>
        </w:rPr>
        <w:t>ance of</w:t>
      </w:r>
      <w:r w:rsidRPr="00094C68">
        <w:rPr>
          <w:b/>
          <w:bCs/>
        </w:rPr>
        <w:t xml:space="preserve"> unnecessary re-establishment</w:t>
      </w:r>
      <w:r w:rsidR="00142019">
        <w:rPr>
          <w:b/>
          <w:bCs/>
        </w:rPr>
        <w:t xml:space="preserve"> </w:t>
      </w:r>
      <w:r w:rsidR="00CD1D79">
        <w:rPr>
          <w:b/>
          <w:bCs/>
        </w:rPr>
        <w:t>caused by applying an RRC reconfiguration</w:t>
      </w:r>
      <w:r w:rsidR="00CA7C57">
        <w:rPr>
          <w:b/>
          <w:bCs/>
        </w:rPr>
        <w:t xml:space="preserve">, </w:t>
      </w:r>
      <w:r w:rsidR="00CD1D79">
        <w:rPr>
          <w:b/>
          <w:bCs/>
        </w:rPr>
        <w:t>received via MN while CPC is executed</w:t>
      </w:r>
      <w:r w:rsidR="003C1B2B">
        <w:rPr>
          <w:b/>
          <w:bCs/>
        </w:rPr>
        <w:t>. The</w:t>
      </w:r>
      <w:r w:rsidR="00313278">
        <w:rPr>
          <w:b/>
          <w:bCs/>
        </w:rPr>
        <w:t xml:space="preserve"> UE </w:t>
      </w:r>
      <w:r w:rsidR="003C1B2B">
        <w:rPr>
          <w:b/>
          <w:bCs/>
        </w:rPr>
        <w:t>may</w:t>
      </w:r>
      <w:r w:rsidR="00313278">
        <w:rPr>
          <w:b/>
          <w:bCs/>
        </w:rPr>
        <w:t xml:space="preserve"> no longer comply with</w:t>
      </w:r>
      <w:r w:rsidR="003C1B2B">
        <w:rPr>
          <w:b/>
          <w:bCs/>
        </w:rPr>
        <w:t xml:space="preserve"> that configuration</w:t>
      </w:r>
      <w:r w:rsidR="00313278">
        <w:rPr>
          <w:b/>
          <w:bCs/>
        </w:rPr>
        <w:t xml:space="preserve"> due to the change of SCG configuration.</w:t>
      </w:r>
    </w:p>
    <w:p w14:paraId="3B75A9B0" w14:textId="04658EC7" w:rsidR="0074694F" w:rsidRDefault="00DF35ED" w:rsidP="0074694F">
      <w:pPr>
        <w:pStyle w:val="Heading2"/>
      </w:pPr>
      <w:r>
        <w:t xml:space="preserve">3.8 </w:t>
      </w:r>
      <w:r>
        <w:tab/>
      </w:r>
      <w:r w:rsidR="0074694F">
        <w:t xml:space="preserve">CPA </w:t>
      </w:r>
      <w:r>
        <w:t>a</w:t>
      </w:r>
      <w:r w:rsidR="0074694F">
        <w:t xml:space="preserve">nd Conditional Handover </w:t>
      </w:r>
    </w:p>
    <w:p w14:paraId="7C85D2C0" w14:textId="42366D67" w:rsidR="0074694F" w:rsidRPr="00094C68" w:rsidRDefault="0074694F">
      <w:r>
        <w:t>In MR-DC, it is possible to configure dual connectivity as part of handover. This direct handover to dual connectivity allows the UE to start with dual connectivity immediately after handover instead of adding the SCG via another signalling procedure involving measurements and reconfiguration. With conditional handover</w:t>
      </w:r>
      <w:r w:rsidR="00184AC9">
        <w:t>,</w:t>
      </w:r>
      <w:r>
        <w:t xml:space="preserve"> even</w:t>
      </w:r>
      <w:r w:rsidR="00184AC9">
        <w:t xml:space="preserve"> </w:t>
      </w:r>
      <w:r>
        <w:t xml:space="preserve">though it is possible to have conditional reconfiguration containing SCG, it was not considered in Rel-16. One of the main issue raised was related availability of suitable measurements about SCG at early stage in source cell when CHO is prepared. </w:t>
      </w:r>
      <w:r w:rsidR="00D37A4A">
        <w:t xml:space="preserve">Rel-17 CPAC functionality may also consider CPA after handover or CHO </w:t>
      </w:r>
      <w:r w:rsidR="00184AC9">
        <w:t>in a way that</w:t>
      </w:r>
      <w:r w:rsidR="00D37A4A">
        <w:t xml:space="preserve"> minimise</w:t>
      </w:r>
      <w:r w:rsidR="00184AC9">
        <w:t>s</w:t>
      </w:r>
      <w:r w:rsidR="00D37A4A">
        <w:t xml:space="preserve"> the additional signalling and delay in setting up dual connectivity after handover.</w:t>
      </w:r>
    </w:p>
    <w:p w14:paraId="38AB0553" w14:textId="3B585E69" w:rsidR="000E2C5E" w:rsidRPr="00094C68" w:rsidRDefault="00D37A4A" w:rsidP="00094C68">
      <w:pPr>
        <w:rPr>
          <w:b/>
          <w:bCs/>
        </w:rPr>
      </w:pPr>
      <w:r w:rsidRPr="00FB6C5F">
        <w:rPr>
          <w:b/>
          <w:bCs/>
        </w:rPr>
        <w:t xml:space="preserve">Proposal </w:t>
      </w:r>
      <w:r w:rsidR="00BF6A2A">
        <w:rPr>
          <w:b/>
          <w:bCs/>
        </w:rPr>
        <w:t>10</w:t>
      </w:r>
      <w:r w:rsidRPr="00FB6C5F">
        <w:rPr>
          <w:b/>
          <w:bCs/>
        </w:rPr>
        <w:t xml:space="preserve">: </w:t>
      </w:r>
      <w:r w:rsidR="002E32A1">
        <w:rPr>
          <w:b/>
          <w:bCs/>
        </w:rPr>
        <w:t xml:space="preserve">To improve the fast setup of dual connectivity after mobility, </w:t>
      </w:r>
      <w:r w:rsidRPr="00FB6C5F">
        <w:rPr>
          <w:b/>
          <w:bCs/>
        </w:rPr>
        <w:t xml:space="preserve">RAN2 is asked to consider solutions </w:t>
      </w:r>
      <w:r>
        <w:rPr>
          <w:b/>
          <w:bCs/>
        </w:rPr>
        <w:t xml:space="preserve">related to </w:t>
      </w:r>
      <w:r w:rsidR="002E32A1">
        <w:rPr>
          <w:b/>
          <w:bCs/>
        </w:rPr>
        <w:t xml:space="preserve">1) </w:t>
      </w:r>
      <w:r>
        <w:rPr>
          <w:b/>
          <w:bCs/>
        </w:rPr>
        <w:t xml:space="preserve">CPA after CHO or </w:t>
      </w:r>
      <w:r w:rsidR="002E32A1">
        <w:rPr>
          <w:b/>
          <w:bCs/>
        </w:rPr>
        <w:t xml:space="preserve">2) </w:t>
      </w:r>
      <w:r>
        <w:rPr>
          <w:b/>
          <w:bCs/>
        </w:rPr>
        <w:t>CHO with dual connectivity.</w:t>
      </w:r>
    </w:p>
    <w:p w14:paraId="5FF2457F" w14:textId="482AC50D" w:rsidR="00A209D6" w:rsidRPr="006E13D1" w:rsidRDefault="006B4D76" w:rsidP="00A209D6">
      <w:pPr>
        <w:pStyle w:val="Heading1"/>
      </w:pPr>
      <w:r>
        <w:t>4</w:t>
      </w:r>
      <w:r w:rsidR="00A209D6" w:rsidRPr="006E13D1">
        <w:tab/>
      </w:r>
      <w:r w:rsidR="00002E0A">
        <w:t>Co</w:t>
      </w:r>
      <w:r w:rsidR="003C6007">
        <w:t>n</w:t>
      </w:r>
      <w:r w:rsidR="00002E0A">
        <w:t>clusions</w:t>
      </w:r>
    </w:p>
    <w:p w14:paraId="32FCE04B" w14:textId="0CF00F26" w:rsidR="008700DC" w:rsidRDefault="002367F4" w:rsidP="003C6007">
      <w:r>
        <w:t>In this paper we discussed what agreements could be already agreed for Rel-17, starting with baseline agreements from Rel-16. Therefore, many of the Rel-16 do not need a re-discussion. There, our proposals are:</w:t>
      </w:r>
    </w:p>
    <w:p w14:paraId="746E2081" w14:textId="77777777" w:rsidR="00094C68" w:rsidRPr="0042218C" w:rsidRDefault="00094C68" w:rsidP="00094C68">
      <w:pPr>
        <w:pStyle w:val="CommentText"/>
        <w:rPr>
          <w:b/>
          <w:bCs/>
        </w:rPr>
      </w:pPr>
      <w:r w:rsidRPr="00E76ABD">
        <w:rPr>
          <w:b/>
          <w:bCs/>
          <w:lang w:val="en-US"/>
        </w:rPr>
        <w:t xml:space="preserve">Proposal 1: </w:t>
      </w:r>
      <w:r w:rsidRPr="0042218C">
        <w:rPr>
          <w:b/>
          <w:bCs/>
        </w:rPr>
        <w:t xml:space="preserve">Adopt </w:t>
      </w:r>
      <w:r>
        <w:rPr>
          <w:b/>
          <w:bCs/>
        </w:rPr>
        <w:t xml:space="preserve">the general CPAC </w:t>
      </w:r>
      <w:r w:rsidRPr="0042218C">
        <w:rPr>
          <w:b/>
          <w:bCs/>
        </w:rPr>
        <w:t xml:space="preserve">Rel.16 agreements shown in </w:t>
      </w:r>
      <w:r>
        <w:rPr>
          <w:b/>
          <w:bCs/>
        </w:rPr>
        <w:t xml:space="preserve">black in </w:t>
      </w:r>
      <w:r w:rsidRPr="0042218C">
        <w:rPr>
          <w:b/>
          <w:bCs/>
        </w:rPr>
        <w:t xml:space="preserve">Table 1 as starting point for Rel. 17. The agreements shown </w:t>
      </w:r>
      <w:r w:rsidRPr="0042218C">
        <w:rPr>
          <w:b/>
          <w:bCs/>
          <w:color w:val="0070C0"/>
        </w:rPr>
        <w:t xml:space="preserve">in </w:t>
      </w:r>
      <w:r w:rsidRPr="0042218C">
        <w:rPr>
          <w:rFonts w:eastAsia="MS Mincho"/>
          <w:b/>
          <w:bCs/>
          <w:color w:val="0070C0"/>
          <w:szCs w:val="24"/>
          <w:lang w:eastAsia="en-GB"/>
        </w:rPr>
        <w:t>blue</w:t>
      </w:r>
      <w:r w:rsidRPr="0042218C">
        <w:rPr>
          <w:b/>
          <w:bCs/>
        </w:rPr>
        <w:t xml:space="preserve"> can be reconsidered for further discussion before reaching conclusions</w:t>
      </w:r>
      <w:r w:rsidRPr="00E76ABD">
        <w:rPr>
          <w:b/>
          <w:bCs/>
          <w:lang w:val="en-US"/>
        </w:rPr>
        <w:t>.</w:t>
      </w:r>
    </w:p>
    <w:tbl>
      <w:tblPr>
        <w:tblStyle w:val="TableGrid"/>
        <w:tblW w:w="0" w:type="auto"/>
        <w:tblLook w:val="04A0" w:firstRow="1" w:lastRow="0" w:firstColumn="1" w:lastColumn="0" w:noHBand="0" w:noVBand="1"/>
      </w:tblPr>
      <w:tblGrid>
        <w:gridCol w:w="9631"/>
      </w:tblGrid>
      <w:tr w:rsidR="00F20BB8" w14:paraId="4BD24883" w14:textId="77777777" w:rsidTr="00F20BB8">
        <w:tc>
          <w:tcPr>
            <w:tcW w:w="9631" w:type="dxa"/>
          </w:tcPr>
          <w:p w14:paraId="064590D5" w14:textId="77777777" w:rsidR="00094C68" w:rsidRPr="00094C68" w:rsidRDefault="00094C68" w:rsidP="00094C68">
            <w:pPr>
              <w:jc w:val="both"/>
            </w:pPr>
            <w:r w:rsidRPr="00094C68">
              <w:t>RAN#107 Agreements</w:t>
            </w:r>
          </w:p>
          <w:p w14:paraId="35D1FB98" w14:textId="77777777" w:rsidR="00094C68" w:rsidRPr="00094C68" w:rsidRDefault="00094C68" w:rsidP="00094C68">
            <w:pPr>
              <w:jc w:val="both"/>
            </w:pPr>
            <w:r w:rsidRPr="00094C68">
              <w:t xml:space="preserve">1 </w:t>
            </w:r>
            <w:r w:rsidRPr="00094C68">
              <w:tab/>
              <w:t xml:space="preserve">Support conditional NR </w:t>
            </w:r>
            <w:proofErr w:type="spellStart"/>
            <w:r w:rsidRPr="00094C68">
              <w:t>PSCell</w:t>
            </w:r>
            <w:proofErr w:type="spellEnd"/>
            <w:r w:rsidRPr="00094C68">
              <w:t xml:space="preserve"> addition/change and reusing the conditional HO solution being developed. Supported for any architecture option with NR </w:t>
            </w:r>
            <w:proofErr w:type="spellStart"/>
            <w:r w:rsidRPr="00094C68">
              <w:t>PSCell</w:t>
            </w:r>
            <w:proofErr w:type="spellEnd"/>
            <w:r w:rsidRPr="00094C68">
              <w:t>.</w:t>
            </w:r>
          </w:p>
          <w:p w14:paraId="53ADC33F" w14:textId="77777777" w:rsidR="00094C68" w:rsidRPr="00094C68" w:rsidRDefault="00094C68" w:rsidP="00094C68">
            <w:pPr>
              <w:jc w:val="both"/>
            </w:pPr>
            <w:r w:rsidRPr="00094C68">
              <w:t>2</w:t>
            </w:r>
            <w:r w:rsidRPr="00094C68">
              <w:tab/>
              <w:t xml:space="preserve">From RAN2 perspective conditional NR </w:t>
            </w:r>
            <w:proofErr w:type="spellStart"/>
            <w:r w:rsidRPr="00094C68">
              <w:t>PSCell</w:t>
            </w:r>
            <w:proofErr w:type="spellEnd"/>
            <w:r w:rsidRPr="00094C68">
              <w:t xml:space="preserve"> change can be supported for both intra-SN and inter-SN.</w:t>
            </w:r>
          </w:p>
          <w:p w14:paraId="4C28173C" w14:textId="77777777" w:rsidR="00094C68" w:rsidRPr="00094C68" w:rsidRDefault="00094C68" w:rsidP="00094C68">
            <w:pPr>
              <w:jc w:val="both"/>
            </w:pPr>
          </w:p>
          <w:p w14:paraId="39104059" w14:textId="77777777" w:rsidR="00094C68" w:rsidRPr="00094C68" w:rsidRDefault="00094C68" w:rsidP="00094C68">
            <w:pPr>
              <w:jc w:val="both"/>
            </w:pPr>
            <w:r w:rsidRPr="00094C68">
              <w:t>RAN2#107bis Agreements:</w:t>
            </w:r>
          </w:p>
          <w:p w14:paraId="3F817138" w14:textId="77777777" w:rsidR="00094C68" w:rsidRPr="00094C68" w:rsidRDefault="00094C68" w:rsidP="00094C68">
            <w:pPr>
              <w:jc w:val="both"/>
            </w:pPr>
            <w:r w:rsidRPr="00094C68">
              <w:t>1</w:t>
            </w:r>
            <w:r w:rsidRPr="00094C68">
              <w:tab/>
              <w:t xml:space="preserve">Maintain Rel-15 principle that only one </w:t>
            </w:r>
            <w:proofErr w:type="spellStart"/>
            <w:r w:rsidRPr="00094C68">
              <w:t>PScell</w:t>
            </w:r>
            <w:proofErr w:type="spellEnd"/>
            <w:r w:rsidRPr="00094C68">
              <w:t xml:space="preserve"> is active at a time even with conditional </w:t>
            </w:r>
            <w:proofErr w:type="spellStart"/>
            <w:r w:rsidRPr="00094C68">
              <w:t>PScell</w:t>
            </w:r>
            <w:proofErr w:type="spellEnd"/>
            <w:r w:rsidRPr="00094C68">
              <w:t xml:space="preserve"> addition/change.</w:t>
            </w:r>
          </w:p>
          <w:p w14:paraId="63E157D8" w14:textId="77777777" w:rsidR="00094C68" w:rsidRPr="00094C68" w:rsidRDefault="00094C68" w:rsidP="00094C68">
            <w:pPr>
              <w:jc w:val="both"/>
            </w:pPr>
          </w:p>
          <w:p w14:paraId="56F3E5E4" w14:textId="77777777" w:rsidR="00094C68" w:rsidRPr="00094C68" w:rsidRDefault="00094C68" w:rsidP="00094C68">
            <w:pPr>
              <w:jc w:val="both"/>
            </w:pPr>
            <w:r w:rsidRPr="00094C68">
              <w:t>RAN2#108 Agreements</w:t>
            </w:r>
          </w:p>
          <w:p w14:paraId="65C72F4C" w14:textId="77777777" w:rsidR="00094C68" w:rsidRPr="00094C68" w:rsidRDefault="00094C68" w:rsidP="00094C68">
            <w:pPr>
              <w:jc w:val="both"/>
            </w:pPr>
            <w:r w:rsidRPr="00094C68">
              <w:t xml:space="preserve">1    CPAC is defined as the UE having network configuration for initiating access to a candidate </w:t>
            </w:r>
            <w:proofErr w:type="spellStart"/>
            <w:r w:rsidRPr="00094C68">
              <w:t>PSCell</w:t>
            </w:r>
            <w:proofErr w:type="spellEnd"/>
            <w:r w:rsidRPr="00094C68">
              <w:t xml:space="preserve">, either to consider the </w:t>
            </w:r>
            <w:proofErr w:type="spellStart"/>
            <w:r w:rsidRPr="00094C68">
              <w:t>PSCell</w:t>
            </w:r>
            <w:proofErr w:type="spellEnd"/>
            <w:r w:rsidRPr="00094C68">
              <w:t xml:space="preserve"> as suitable for SN addition or SN change including intra-SN change, based on configured condition(s).  </w:t>
            </w:r>
          </w:p>
          <w:p w14:paraId="256E5DCA" w14:textId="77777777" w:rsidR="00094C68" w:rsidRPr="00094C68" w:rsidRDefault="00094C68" w:rsidP="00094C68">
            <w:pPr>
              <w:jc w:val="both"/>
            </w:pPr>
            <w:r w:rsidRPr="00094C68">
              <w:t>2.</w:t>
            </w:r>
            <w:r w:rsidRPr="00094C68">
              <w:tab/>
              <w:t>Usage of CPAC is decided by the network. The UE evaluates when the condition is valid.</w:t>
            </w:r>
          </w:p>
          <w:p w14:paraId="1610C66F" w14:textId="77777777" w:rsidR="00094C68" w:rsidRPr="00094C68" w:rsidRDefault="00094C68" w:rsidP="00094C68">
            <w:pPr>
              <w:jc w:val="both"/>
            </w:pPr>
            <w:r w:rsidRPr="00094C68">
              <w:t>3.</w:t>
            </w:r>
            <w:r w:rsidRPr="00094C68">
              <w:tab/>
              <w:t>Support configuration of one or more candidate cells for CPAC;</w:t>
            </w:r>
          </w:p>
          <w:p w14:paraId="1C993EB5" w14:textId="77777777" w:rsidR="00094C68" w:rsidRPr="00094C68" w:rsidRDefault="00094C68" w:rsidP="00094C68">
            <w:pPr>
              <w:jc w:val="both"/>
            </w:pPr>
            <w:r w:rsidRPr="00094C68">
              <w:t>4.</w:t>
            </w:r>
            <w:r w:rsidRPr="00094C68">
              <w:tab/>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14:paraId="3E0769F0" w14:textId="77777777" w:rsidR="00094C68" w:rsidRPr="00094C68" w:rsidRDefault="00094C68" w:rsidP="00094C68">
            <w:pPr>
              <w:jc w:val="both"/>
            </w:pPr>
            <w:r w:rsidRPr="00094C68">
              <w:t>5.</w:t>
            </w:r>
            <w:r w:rsidRPr="00094C68">
              <w:tab/>
              <w:t xml:space="preserve">Define an execution condition for conditional </w:t>
            </w:r>
            <w:proofErr w:type="spellStart"/>
            <w:r w:rsidRPr="00094C68">
              <w:t>PSCell</w:t>
            </w:r>
            <w:proofErr w:type="spellEnd"/>
            <w:r w:rsidRPr="00094C68">
              <w:t xml:space="preserve"> change by the measurement identity which identifies a measurement configuration There is already an agreement for conditional </w:t>
            </w:r>
            <w:proofErr w:type="spellStart"/>
            <w:r w:rsidRPr="00094C68">
              <w:t>PSCell</w:t>
            </w:r>
            <w:proofErr w:type="spellEnd"/>
            <w:r w:rsidRPr="00094C68">
              <w:t xml:space="preserve"> addition</w:t>
            </w:r>
          </w:p>
          <w:p w14:paraId="3D780144" w14:textId="77777777" w:rsidR="00094C68" w:rsidRPr="00094C68" w:rsidRDefault="00094C68" w:rsidP="00094C68">
            <w:pPr>
              <w:jc w:val="both"/>
            </w:pPr>
            <w:r w:rsidRPr="00094C68">
              <w:t>7.</w:t>
            </w:r>
            <w:r w:rsidRPr="00094C68">
              <w:tab/>
              <w:t xml:space="preserve">Cell level quality is used as baseline for Conditional NR </w:t>
            </w:r>
            <w:proofErr w:type="spellStart"/>
            <w:r w:rsidRPr="00094C68">
              <w:t>PSCell</w:t>
            </w:r>
            <w:proofErr w:type="spellEnd"/>
            <w:r w:rsidRPr="00094C68">
              <w:t xml:space="preserve"> addition/change execution condition;</w:t>
            </w:r>
          </w:p>
          <w:p w14:paraId="3FD568D1" w14:textId="77777777" w:rsidR="00094C68" w:rsidRPr="00094C68" w:rsidRDefault="00094C68" w:rsidP="00094C68">
            <w:pPr>
              <w:jc w:val="both"/>
            </w:pPr>
            <w:r w:rsidRPr="00094C68">
              <w:t>8.</w:t>
            </w:r>
            <w:r w:rsidRPr="00094C68">
              <w:tab/>
              <w:t xml:space="preserve">Only single RS type (SSB or CSI-RS) per candidate </w:t>
            </w:r>
            <w:proofErr w:type="spellStart"/>
            <w:r w:rsidRPr="00094C68">
              <w:t>PSCell</w:t>
            </w:r>
            <w:proofErr w:type="spellEnd"/>
            <w:r w:rsidRPr="00094C68">
              <w:t xml:space="preserve"> is supported for </w:t>
            </w:r>
            <w:proofErr w:type="spellStart"/>
            <w:r w:rsidRPr="00094C68">
              <w:t>PSCell</w:t>
            </w:r>
            <w:proofErr w:type="spellEnd"/>
            <w:r w:rsidRPr="00094C68">
              <w:t xml:space="preserve"> change. </w:t>
            </w:r>
          </w:p>
          <w:p w14:paraId="7922EEF7" w14:textId="77777777" w:rsidR="00094C68" w:rsidRPr="00094C68" w:rsidRDefault="00094C68" w:rsidP="00094C68">
            <w:pPr>
              <w:jc w:val="both"/>
            </w:pPr>
            <w:r w:rsidRPr="00094C68">
              <w:t>9.</w:t>
            </w:r>
            <w:r w:rsidRPr="00094C68">
              <w:tab/>
              <w:t xml:space="preserve">At most two triggering quantities (e.g. RSRP and RSRQ, RSRP and SINR, etc.) can be configured simultaneously. </w:t>
            </w:r>
          </w:p>
          <w:p w14:paraId="4C368027" w14:textId="77777777" w:rsidR="00094C68" w:rsidRPr="00094C68" w:rsidRDefault="00094C68" w:rsidP="00094C68">
            <w:pPr>
              <w:jc w:val="both"/>
            </w:pPr>
            <w:r w:rsidRPr="00094C68">
              <w:t>10.</w:t>
            </w:r>
            <w:r w:rsidRPr="00094C68">
              <w:tab/>
              <w:t>TTT is supported for CPAC execution condition (as per legacy configuration)</w:t>
            </w:r>
          </w:p>
          <w:p w14:paraId="61DF2CE9" w14:textId="77777777" w:rsidR="00094C68" w:rsidRPr="00094C68" w:rsidRDefault="00094C68" w:rsidP="00094C68">
            <w:pPr>
              <w:jc w:val="both"/>
              <w:rPr>
                <w:color w:val="0070C0"/>
              </w:rPr>
            </w:pPr>
            <w:r w:rsidRPr="00094C68">
              <w:rPr>
                <w:color w:val="0070C0"/>
              </w:rPr>
              <w:t>11.</w:t>
            </w:r>
            <w:r w:rsidRPr="00094C68">
              <w:rPr>
                <w:color w:val="0070C0"/>
              </w:rPr>
              <w:tab/>
              <w:t xml:space="preserve">UE is not required to continue evaluating the triggering condition of </w:t>
            </w:r>
            <w:proofErr w:type="gramStart"/>
            <w:r w:rsidRPr="00094C68">
              <w:rPr>
                <w:color w:val="0070C0"/>
              </w:rPr>
              <w:t>other</w:t>
            </w:r>
            <w:proofErr w:type="gramEnd"/>
            <w:r w:rsidRPr="00094C68">
              <w:rPr>
                <w:color w:val="0070C0"/>
              </w:rPr>
              <w:t xml:space="preserve"> candidate </w:t>
            </w:r>
            <w:proofErr w:type="spellStart"/>
            <w:r w:rsidRPr="00094C68">
              <w:rPr>
                <w:color w:val="0070C0"/>
              </w:rPr>
              <w:t>PSCell</w:t>
            </w:r>
            <w:proofErr w:type="spellEnd"/>
            <w:r w:rsidRPr="00094C68">
              <w:rPr>
                <w:color w:val="0070C0"/>
              </w:rPr>
              <w:t xml:space="preserve">(s) during conditional SN execution. </w:t>
            </w:r>
          </w:p>
          <w:p w14:paraId="04C829E2" w14:textId="03BA933E" w:rsidR="00094C68" w:rsidRPr="00094C68" w:rsidRDefault="00094C68" w:rsidP="00094C68">
            <w:pPr>
              <w:jc w:val="both"/>
            </w:pPr>
            <w:r w:rsidRPr="00094C68">
              <w:t xml:space="preserve"> 12. SN decides on the condition for SN-initiated procedures and MN decides on the condition on MN-initiated procedures.</w:t>
            </w:r>
          </w:p>
          <w:p w14:paraId="0DFB77DB" w14:textId="77777777" w:rsidR="00094C68" w:rsidRPr="00094C68" w:rsidRDefault="00094C68" w:rsidP="00094C68">
            <w:pPr>
              <w:jc w:val="both"/>
            </w:pPr>
            <w:r w:rsidRPr="00094C68">
              <w:t>RAN2#109e Agreements (3.3.2020)</w:t>
            </w:r>
          </w:p>
          <w:p w14:paraId="0331BB3E" w14:textId="77777777" w:rsidR="00094C68" w:rsidRPr="00094C68" w:rsidRDefault="00094C68" w:rsidP="00094C68">
            <w:pPr>
              <w:jc w:val="both"/>
            </w:pPr>
            <w:r w:rsidRPr="00094C68">
              <w:t>Proposals from offline discussion [AT1092] [215]:</w:t>
            </w:r>
          </w:p>
          <w:p w14:paraId="25E8F338" w14:textId="77777777" w:rsidR="00094C68" w:rsidRPr="00094C68" w:rsidRDefault="00094C68" w:rsidP="00094C68">
            <w:pPr>
              <w:jc w:val="both"/>
              <w:rPr>
                <w:color w:val="0070C0"/>
              </w:rPr>
            </w:pPr>
            <w:r w:rsidRPr="00094C68">
              <w:t xml:space="preserve">S1_1:  While executing CPC procedure, the UE continues to receive RRC reconfiguration from the MN. </w:t>
            </w:r>
            <w:r w:rsidRPr="00094C68">
              <w:rPr>
                <w:color w:val="0070C0"/>
              </w:rPr>
              <w:t xml:space="preserve">However, the UE should finalise the ongoing CPC execution before processing the RRC message received from the MN (same as in the conventional </w:t>
            </w:r>
            <w:proofErr w:type="spellStart"/>
            <w:r w:rsidRPr="00094C68">
              <w:rPr>
                <w:color w:val="0070C0"/>
              </w:rPr>
              <w:t>PSCell</w:t>
            </w:r>
            <w:proofErr w:type="spellEnd"/>
            <w:r w:rsidRPr="00094C68">
              <w:rPr>
                <w:color w:val="0070C0"/>
              </w:rPr>
              <w:t xml:space="preserve"> change). i.e. legacy behaviour and no specific UE requirement. </w:t>
            </w:r>
          </w:p>
          <w:p w14:paraId="74C77FF0" w14:textId="77777777" w:rsidR="00094C68" w:rsidRPr="00094C68" w:rsidRDefault="00094C68" w:rsidP="00094C68">
            <w:pPr>
              <w:jc w:val="both"/>
            </w:pPr>
            <w:r w:rsidRPr="00094C68">
              <w:t xml:space="preserve">S1_2: As in legacy </w:t>
            </w:r>
            <w:proofErr w:type="spellStart"/>
            <w:r w:rsidRPr="00094C68">
              <w:t>PSCell</w:t>
            </w:r>
            <w:proofErr w:type="spellEnd"/>
            <w:r w:rsidRPr="00094C68">
              <w:t xml:space="preserve"> change, the UE sends </w:t>
            </w:r>
            <w:proofErr w:type="spellStart"/>
            <w:r w:rsidRPr="00094C68">
              <w:t>RRCReconfigurationComplete</w:t>
            </w:r>
            <w:proofErr w:type="spellEnd"/>
            <w:r w:rsidRPr="00094C68">
              <w:t xml:space="preserve"> to the MN at execution of CPC when no SRB3 is configured and the MN informs the SN. </w:t>
            </w:r>
            <w:proofErr w:type="spellStart"/>
            <w:r w:rsidRPr="00094C68">
              <w:t>i.e</w:t>
            </w:r>
            <w:proofErr w:type="spellEnd"/>
            <w:r w:rsidRPr="00094C68">
              <w:t xml:space="preserve"> the complete message to MN includes an embedded complete message to the SN.</w:t>
            </w:r>
          </w:p>
          <w:p w14:paraId="4F727BA1" w14:textId="60E17B1E" w:rsidR="00094C68" w:rsidRPr="00094C68" w:rsidRDefault="00094C68" w:rsidP="00094C68">
            <w:pPr>
              <w:jc w:val="both"/>
            </w:pPr>
            <w:r w:rsidRPr="00094C68">
              <w:t xml:space="preserve">S1_3: The UE sends </w:t>
            </w:r>
            <w:proofErr w:type="spellStart"/>
            <w:r w:rsidRPr="00094C68">
              <w:t>RRCReconfigurationComplete</w:t>
            </w:r>
            <w:proofErr w:type="spellEnd"/>
            <w:r w:rsidRPr="00094C68">
              <w:t xml:space="preserve"> to the MN at configuration of CPC when no SRB3 is configured and the MN informs the SN. i.e. the complete message to the MN includes an embedded complete message to the SN.</w:t>
            </w:r>
          </w:p>
          <w:p w14:paraId="1F10D04B" w14:textId="0865819A" w:rsidR="00094C68" w:rsidRPr="00094C68" w:rsidRDefault="00094C68" w:rsidP="00094C68">
            <w:pPr>
              <w:jc w:val="both"/>
            </w:pPr>
            <w:r w:rsidRPr="00094C68">
              <w:t>RAN2#110e Agreements</w:t>
            </w:r>
          </w:p>
          <w:p w14:paraId="63139699" w14:textId="77777777" w:rsidR="00094C68" w:rsidRPr="00094C68" w:rsidRDefault="00094C68" w:rsidP="00094C68">
            <w:pPr>
              <w:jc w:val="both"/>
            </w:pPr>
            <w:r w:rsidRPr="00094C68">
              <w:t>2</w:t>
            </w:r>
            <w:r w:rsidRPr="00094C68">
              <w:tab/>
              <w:t>the CPC capable UE must support maximum 8 candidate cells;</w:t>
            </w:r>
          </w:p>
          <w:p w14:paraId="0185651F" w14:textId="77777777" w:rsidR="00094C68" w:rsidRPr="00094C68" w:rsidRDefault="00094C68" w:rsidP="00094C68">
            <w:pPr>
              <w:jc w:val="both"/>
              <w:rPr>
                <w:color w:val="0070C0"/>
              </w:rPr>
            </w:pPr>
            <w:r w:rsidRPr="00094C68">
              <w:rPr>
                <w:color w:val="0070C0"/>
              </w:rPr>
              <w:t>3</w:t>
            </w:r>
            <w:r w:rsidRPr="00094C68">
              <w:rPr>
                <w:color w:val="0070C0"/>
              </w:rPr>
              <w:tab/>
              <w:t>For CPC, introduce additional IOT bit (i.e. mandatory with capability) on the support of 2 trigger events for same execution condition. This feature is mandatory for UEs supporting CPC (as per definition of IOT bits).</w:t>
            </w:r>
          </w:p>
          <w:p w14:paraId="7584FB33" w14:textId="77777777" w:rsidR="00094C68" w:rsidRPr="00094C68" w:rsidRDefault="00094C68" w:rsidP="00094C68">
            <w:pPr>
              <w:jc w:val="both"/>
              <w:rPr>
                <w:color w:val="0070C0"/>
              </w:rPr>
            </w:pPr>
            <w:r w:rsidRPr="00094C68">
              <w:rPr>
                <w:color w:val="0070C0"/>
              </w:rPr>
              <w:t>5</w:t>
            </w:r>
            <w:r w:rsidRPr="00094C68">
              <w:rPr>
                <w:color w:val="0070C0"/>
              </w:rPr>
              <w:tab/>
              <w:t>Introduce capability bit (e.g. cpc-r16) to indicate the support of CPC;</w:t>
            </w:r>
          </w:p>
          <w:p w14:paraId="064CCFF3" w14:textId="5EA101FC" w:rsidR="00F20BB8" w:rsidRPr="00F20BB8" w:rsidRDefault="00094C68" w:rsidP="00F20BB8">
            <w:pPr>
              <w:jc w:val="both"/>
              <w:rPr>
                <w:b/>
                <w:bCs/>
              </w:rPr>
            </w:pPr>
            <w:r w:rsidRPr="00094C68">
              <w:rPr>
                <w:color w:val="0070C0"/>
              </w:rPr>
              <w:t>6</w:t>
            </w:r>
            <w:r w:rsidRPr="00094C68">
              <w:rPr>
                <w:color w:val="0070C0"/>
              </w:rPr>
              <w:tab/>
              <w:t>For CHO/CPC, introduce separate capabilities FDD-to-TDD (and vice versa) CHO/CPC and FR1-to-FR2 (and vice versa) CHO/CPC;</w:t>
            </w:r>
          </w:p>
        </w:tc>
      </w:tr>
    </w:tbl>
    <w:p w14:paraId="1A51AC25" w14:textId="43B77DAA" w:rsidR="0096248D" w:rsidRDefault="0096248D" w:rsidP="00094C68">
      <w:pPr>
        <w:jc w:val="center"/>
        <w:rPr>
          <w:b/>
          <w:bCs/>
        </w:rPr>
      </w:pPr>
    </w:p>
    <w:p w14:paraId="35102BBD" w14:textId="6C85A783" w:rsidR="00432182" w:rsidRPr="009933EB" w:rsidRDefault="00094C68" w:rsidP="00432182">
      <w:pPr>
        <w:rPr>
          <w:b/>
          <w:bCs/>
        </w:rPr>
      </w:pPr>
      <w:r>
        <w:rPr>
          <w:b/>
          <w:bCs/>
        </w:rPr>
        <w:t xml:space="preserve">Proposal 2: </w:t>
      </w:r>
      <w:r w:rsidRPr="004E6FA6">
        <w:rPr>
          <w:b/>
          <w:bCs/>
        </w:rPr>
        <w:t xml:space="preserve">Adopt </w:t>
      </w:r>
      <w:r>
        <w:rPr>
          <w:b/>
          <w:bCs/>
        </w:rPr>
        <w:t xml:space="preserve">the CPA and CPC </w:t>
      </w:r>
      <w:r w:rsidRPr="004E6FA6">
        <w:rPr>
          <w:b/>
          <w:bCs/>
        </w:rPr>
        <w:t>Rel.16 agreements shown in</w:t>
      </w:r>
      <w:r>
        <w:rPr>
          <w:b/>
          <w:bCs/>
        </w:rPr>
        <w:t xml:space="preserve"> black in</w:t>
      </w:r>
      <w:r w:rsidRPr="004E6FA6">
        <w:rPr>
          <w:b/>
          <w:bCs/>
        </w:rPr>
        <w:t xml:space="preserve"> Table </w:t>
      </w:r>
      <w:r>
        <w:rPr>
          <w:b/>
          <w:bCs/>
        </w:rPr>
        <w:t>2</w:t>
      </w:r>
      <w:r w:rsidRPr="004E6FA6">
        <w:rPr>
          <w:b/>
          <w:bCs/>
        </w:rPr>
        <w:t xml:space="preserve"> as starting point for Rel. 17. The agreements shown </w:t>
      </w:r>
      <w:r w:rsidRPr="0042218C">
        <w:rPr>
          <w:b/>
          <w:bCs/>
          <w:color w:val="0070C0"/>
        </w:rPr>
        <w:t xml:space="preserve">in blue </w:t>
      </w:r>
      <w:r w:rsidRPr="004E6FA6">
        <w:rPr>
          <w:b/>
          <w:bCs/>
        </w:rPr>
        <w:t>can be reconsidered for further discussion before reaching conclusions</w:t>
      </w:r>
      <w:r w:rsidRPr="00E76ABD">
        <w:rPr>
          <w:b/>
          <w:bCs/>
          <w:lang w:val="en-US"/>
        </w:rPr>
        <w:t>.</w:t>
      </w:r>
    </w:p>
    <w:tbl>
      <w:tblPr>
        <w:tblStyle w:val="TableGrid"/>
        <w:tblW w:w="0" w:type="auto"/>
        <w:tblLook w:val="04A0" w:firstRow="1" w:lastRow="0" w:firstColumn="1" w:lastColumn="0" w:noHBand="0" w:noVBand="1"/>
      </w:tblPr>
      <w:tblGrid>
        <w:gridCol w:w="9631"/>
      </w:tblGrid>
      <w:tr w:rsidR="00F20BB8" w14:paraId="223389FB" w14:textId="77777777" w:rsidTr="00F20BB8">
        <w:tc>
          <w:tcPr>
            <w:tcW w:w="9631" w:type="dxa"/>
          </w:tcPr>
          <w:p w14:paraId="3E72F391" w14:textId="77777777" w:rsidR="00094C68" w:rsidRPr="00094C68" w:rsidRDefault="00094C68" w:rsidP="00094C68">
            <w:r w:rsidRPr="00094C68">
              <w:t>1</w:t>
            </w:r>
            <w:r w:rsidRPr="00094C68">
              <w:tab/>
              <w:t xml:space="preserve">For conditional </w:t>
            </w:r>
            <w:proofErr w:type="spellStart"/>
            <w:r w:rsidRPr="00094C68">
              <w:t>PScell</w:t>
            </w:r>
            <w:proofErr w:type="spellEnd"/>
            <w:r w:rsidRPr="00094C68">
              <w:t xml:space="preserve"> addition, the MN decides on the conditional </w:t>
            </w:r>
            <w:proofErr w:type="spellStart"/>
            <w:r w:rsidRPr="00094C68">
              <w:t>PScell</w:t>
            </w:r>
            <w:proofErr w:type="spellEnd"/>
            <w:r w:rsidRPr="00094C68">
              <w:t xml:space="preserve"> addition execution condition. The condition is defined by a measurement identity, given by a measurement configuration provided by the MN.</w:t>
            </w:r>
          </w:p>
          <w:p w14:paraId="5AF6C662" w14:textId="77777777" w:rsidR="00094C68" w:rsidRPr="00094C68" w:rsidRDefault="00094C68" w:rsidP="00094C68">
            <w:r w:rsidRPr="00094C68">
              <w:t>2</w:t>
            </w:r>
            <w:r w:rsidRPr="00094C68">
              <w:tab/>
              <w:t xml:space="preserve">For conditional </w:t>
            </w:r>
            <w:proofErr w:type="spellStart"/>
            <w:r w:rsidRPr="00094C68">
              <w:t>PScell</w:t>
            </w:r>
            <w:proofErr w:type="spellEnd"/>
            <w:r w:rsidRPr="00094C68">
              <w:t xml:space="preserve"> change, execution condition may be decided by MN (MN-initiated) or SN (SN-initiated)</w:t>
            </w:r>
          </w:p>
          <w:p w14:paraId="48258D18" w14:textId="77777777" w:rsidR="00094C68" w:rsidRPr="00094C68" w:rsidRDefault="00094C68" w:rsidP="00094C68">
            <w:pPr>
              <w:rPr>
                <w:color w:val="0070C0"/>
              </w:rPr>
            </w:pPr>
            <w:r w:rsidRPr="00094C68">
              <w:rPr>
                <w:color w:val="0070C0"/>
              </w:rPr>
              <w:t>3</w:t>
            </w:r>
            <w:r w:rsidRPr="00094C68">
              <w:rPr>
                <w:color w:val="0070C0"/>
              </w:rPr>
              <w:tab/>
              <w:t xml:space="preserve">For conditional </w:t>
            </w:r>
            <w:proofErr w:type="spellStart"/>
            <w:r w:rsidRPr="00094C68">
              <w:rPr>
                <w:color w:val="0070C0"/>
              </w:rPr>
              <w:t>PScell</w:t>
            </w:r>
            <w:proofErr w:type="spellEnd"/>
            <w:r w:rsidRPr="00094C68">
              <w:rPr>
                <w:color w:val="0070C0"/>
              </w:rPr>
              <w:t xml:space="preserve"> change, A3/A5 execution condition should be supported while for conditional </w:t>
            </w:r>
            <w:proofErr w:type="spellStart"/>
            <w:r w:rsidRPr="00094C68">
              <w:rPr>
                <w:color w:val="0070C0"/>
              </w:rPr>
              <w:t>PScell</w:t>
            </w:r>
            <w:proofErr w:type="spellEnd"/>
            <w:r w:rsidRPr="00094C68">
              <w:rPr>
                <w:color w:val="0070C0"/>
              </w:rPr>
              <w:t xml:space="preserve"> addition, A4/B1 like execution condition should be supported.   </w:t>
            </w:r>
          </w:p>
          <w:p w14:paraId="63A2B658" w14:textId="77777777" w:rsidR="00094C68" w:rsidRPr="00094C68" w:rsidRDefault="00094C68" w:rsidP="00094C68">
            <w:r w:rsidRPr="00094C68">
              <w:t xml:space="preserve">4     For conditional SN change, the source SN configuration can be used as the reference in   </w:t>
            </w:r>
          </w:p>
          <w:p w14:paraId="38DD1CC2" w14:textId="04F6CF47" w:rsidR="00094C68" w:rsidRPr="00094C68" w:rsidRDefault="00094C68" w:rsidP="00094C68">
            <w:r w:rsidRPr="00094C68">
              <w:t xml:space="preserve">       generation of delta signalling for the candidate SNs.  </w:t>
            </w:r>
          </w:p>
          <w:p w14:paraId="4704EC86" w14:textId="77777777" w:rsidR="00094C68" w:rsidRPr="00094C68" w:rsidRDefault="00094C68" w:rsidP="00094C68">
            <w:r w:rsidRPr="00094C68">
              <w:t xml:space="preserve">For </w:t>
            </w:r>
            <w:proofErr w:type="spellStart"/>
            <w:r w:rsidRPr="00094C68">
              <w:t>PSCell</w:t>
            </w:r>
            <w:proofErr w:type="spellEnd"/>
            <w:r w:rsidRPr="00094C68">
              <w:t xml:space="preserve"> addition:</w:t>
            </w:r>
          </w:p>
          <w:p w14:paraId="22F2B8AF" w14:textId="77777777" w:rsidR="00094C68" w:rsidRPr="00094C68" w:rsidRDefault="00094C68" w:rsidP="00094C68">
            <w:r w:rsidRPr="00094C68">
              <w:t>1</w:t>
            </w:r>
            <w:r w:rsidRPr="00094C68">
              <w:tab/>
              <w:t xml:space="preserve">The baseline operation for CPAC procedure assumes the RRC Reconfiguration message contains SCG addition/change triggering condition(s) and the RRC configuration(s) for candidate target </w:t>
            </w:r>
            <w:proofErr w:type="spellStart"/>
            <w:r w:rsidRPr="00094C68">
              <w:t>PSCells</w:t>
            </w:r>
            <w:proofErr w:type="spellEnd"/>
            <w:r w:rsidRPr="00094C68">
              <w:t xml:space="preserve">. The UE accesses the prepared </w:t>
            </w:r>
            <w:proofErr w:type="spellStart"/>
            <w:r w:rsidRPr="00094C68">
              <w:t>PSCell</w:t>
            </w:r>
            <w:proofErr w:type="spellEnd"/>
            <w:r w:rsidRPr="00094C68">
              <w:t xml:space="preserve"> when the relevant condition is met.</w:t>
            </w:r>
          </w:p>
          <w:p w14:paraId="54A3C98B" w14:textId="77777777" w:rsidR="00094C68" w:rsidRPr="00094C68" w:rsidRDefault="00094C68" w:rsidP="00094C68">
            <w:r w:rsidRPr="00094C68">
              <w:t>2</w:t>
            </w:r>
            <w:r w:rsidRPr="00094C68">
              <w:tab/>
              <w:t xml:space="preserve">Multiple candidate </w:t>
            </w:r>
            <w:proofErr w:type="spellStart"/>
            <w:r w:rsidRPr="00094C68">
              <w:t>PSCells</w:t>
            </w:r>
            <w:proofErr w:type="spellEnd"/>
            <w:r w:rsidRPr="00094C68">
              <w:t xml:space="preserve"> can be sent in either one or multiple RRC messages. </w:t>
            </w:r>
          </w:p>
          <w:p w14:paraId="2A77CDA3" w14:textId="77777777" w:rsidR="00094C68" w:rsidRPr="00094C68" w:rsidRDefault="00094C68" w:rsidP="00094C68">
            <w:r w:rsidRPr="00094C68">
              <w:t>3</w:t>
            </w:r>
            <w:r w:rsidRPr="00094C68">
              <w:tab/>
            </w:r>
            <w:r w:rsidRPr="00094C68">
              <w:tab/>
              <w:t xml:space="preserve">As part of the CPAC configuration to be sent to the UE, the RRC container is used to carry candidate </w:t>
            </w:r>
            <w:proofErr w:type="spellStart"/>
            <w:r w:rsidRPr="00094C68">
              <w:t>PSCell</w:t>
            </w:r>
            <w:proofErr w:type="spellEnd"/>
            <w:r w:rsidRPr="00094C68">
              <w:t xml:space="preserve"> configuration, and the MN is not allowed to alter any content of the configuration from the </w:t>
            </w:r>
            <w:proofErr w:type="spellStart"/>
            <w:r w:rsidRPr="00094C68">
              <w:t>PSCell</w:t>
            </w:r>
            <w:proofErr w:type="spellEnd"/>
            <w:r w:rsidRPr="00094C68">
              <w:t xml:space="preserve">. moreover, in case of SN change, source SN is not allowed to alter any content of the configuration from the target SN. </w:t>
            </w:r>
          </w:p>
          <w:p w14:paraId="5118AE85" w14:textId="77777777" w:rsidR="00094C68" w:rsidRPr="00094C68" w:rsidRDefault="00094C68" w:rsidP="00094C68">
            <w:r w:rsidRPr="00094C68">
              <w:t>4</w:t>
            </w:r>
            <w:r w:rsidRPr="00094C68">
              <w:tab/>
              <w:t xml:space="preserve">Use add/mod list + release list to configure multiple candidate </w:t>
            </w:r>
            <w:proofErr w:type="spellStart"/>
            <w:r w:rsidRPr="00094C68">
              <w:t>PSCells</w:t>
            </w:r>
            <w:proofErr w:type="spellEnd"/>
            <w:r w:rsidRPr="00094C68">
              <w:t xml:space="preserve">. </w:t>
            </w:r>
          </w:p>
          <w:p w14:paraId="3AEC0905" w14:textId="77777777" w:rsidR="00094C68" w:rsidRPr="00094C68" w:rsidRDefault="00094C68" w:rsidP="00094C68">
            <w:r w:rsidRPr="00094C68">
              <w:t>5</w:t>
            </w:r>
            <w:r w:rsidRPr="00094C68">
              <w:tab/>
              <w:t xml:space="preserve">CPAC execution condition and/or candidate </w:t>
            </w:r>
            <w:proofErr w:type="spellStart"/>
            <w:r w:rsidRPr="00094C68">
              <w:t>PSCell</w:t>
            </w:r>
            <w:proofErr w:type="spellEnd"/>
            <w:r w:rsidRPr="00094C68">
              <w:t xml:space="preserve"> configuration can be updated by modifying the existing CPAC configuration.</w:t>
            </w:r>
          </w:p>
          <w:p w14:paraId="36D4F123" w14:textId="7951FE97" w:rsidR="00F20BB8" w:rsidRDefault="00094C68" w:rsidP="00F20BB8">
            <w:pPr>
              <w:rPr>
                <w:b/>
                <w:bCs/>
              </w:rPr>
            </w:pPr>
            <w:r w:rsidRPr="00094C68">
              <w:t>6</w:t>
            </w:r>
            <w:r w:rsidRPr="00094C68">
              <w:tab/>
              <w:t xml:space="preserve">Reuse the </w:t>
            </w:r>
            <w:proofErr w:type="spellStart"/>
            <w:r w:rsidRPr="00094C68">
              <w:t>RRCReconfiguration</w:t>
            </w:r>
            <w:proofErr w:type="spellEnd"/>
            <w:r w:rsidRPr="00094C68">
              <w:t>/</w:t>
            </w:r>
            <w:proofErr w:type="spellStart"/>
            <w:r w:rsidRPr="00094C68">
              <w:t>RRCConnectionReconfiguration</w:t>
            </w:r>
            <w:proofErr w:type="spellEnd"/>
            <w:r w:rsidRPr="00094C68">
              <w:t xml:space="preserve"> procedure to signal CPAC configuration to UE.</w:t>
            </w:r>
          </w:p>
        </w:tc>
      </w:tr>
    </w:tbl>
    <w:p w14:paraId="58577B8A" w14:textId="0E3BC211" w:rsidR="0096248D" w:rsidRPr="009933EB" w:rsidRDefault="0096248D" w:rsidP="00094C68">
      <w:pPr>
        <w:jc w:val="center"/>
        <w:rPr>
          <w:b/>
          <w:bCs/>
        </w:rPr>
      </w:pPr>
    </w:p>
    <w:p w14:paraId="1B3B7245" w14:textId="77777777" w:rsidR="00094C68" w:rsidRPr="00276480" w:rsidRDefault="00094C68" w:rsidP="00094C68">
      <w:pPr>
        <w:rPr>
          <w:b/>
          <w:bCs/>
        </w:rPr>
      </w:pPr>
      <w:r w:rsidRPr="00276480">
        <w:rPr>
          <w:b/>
          <w:bCs/>
        </w:rPr>
        <w:t xml:space="preserve">Proposal 3: RAN2 is asked to discuss </w:t>
      </w:r>
      <w:r>
        <w:rPr>
          <w:b/>
          <w:bCs/>
        </w:rPr>
        <w:t xml:space="preserve">whether to </w:t>
      </w:r>
      <w:r w:rsidRPr="00276480">
        <w:rPr>
          <w:b/>
          <w:bCs/>
        </w:rPr>
        <w:t xml:space="preserve">specify additional SCG Failure Information components for CPC and CPA. </w:t>
      </w:r>
    </w:p>
    <w:p w14:paraId="0174CB5E" w14:textId="77777777" w:rsidR="00094C68" w:rsidRPr="0042218C" w:rsidRDefault="00094C68" w:rsidP="00094C68">
      <w:pPr>
        <w:rPr>
          <w:b/>
          <w:bCs/>
        </w:rPr>
      </w:pPr>
      <w:r w:rsidRPr="0042218C">
        <w:rPr>
          <w:b/>
          <w:bCs/>
        </w:rPr>
        <w:t xml:space="preserve">Proposal 4: Study how to ensure the UE can </w:t>
      </w:r>
      <w:r>
        <w:rPr>
          <w:b/>
          <w:bCs/>
        </w:rPr>
        <w:t xml:space="preserve">mitigate the S-RLF if </w:t>
      </w:r>
      <w:proofErr w:type="spellStart"/>
      <w:r>
        <w:rPr>
          <w:b/>
          <w:bCs/>
        </w:rPr>
        <w:t>PSCell’s</w:t>
      </w:r>
      <w:proofErr w:type="spellEnd"/>
      <w:r>
        <w:rPr>
          <w:b/>
          <w:bCs/>
        </w:rPr>
        <w:t xml:space="preserve"> quality is deteriorating before it is released.</w:t>
      </w:r>
      <w:r w:rsidRPr="000562BB" w:rsidDel="00871CAE">
        <w:rPr>
          <w:b/>
          <w:bCs/>
        </w:rPr>
        <w:t xml:space="preserve"> </w:t>
      </w:r>
    </w:p>
    <w:p w14:paraId="588EF84D" w14:textId="77777777" w:rsidR="00094C68" w:rsidRPr="0042218C" w:rsidRDefault="00094C68" w:rsidP="00094C68">
      <w:pPr>
        <w:rPr>
          <w:b/>
          <w:bCs/>
        </w:rPr>
      </w:pPr>
      <w:r w:rsidRPr="0042218C">
        <w:rPr>
          <w:b/>
          <w:bCs/>
        </w:rPr>
        <w:t>Proposal</w:t>
      </w:r>
      <w:r>
        <w:rPr>
          <w:b/>
          <w:bCs/>
        </w:rPr>
        <w:t xml:space="preserve"> 5</w:t>
      </w:r>
      <w:r w:rsidRPr="0042218C">
        <w:rPr>
          <w:b/>
          <w:bCs/>
        </w:rPr>
        <w:t xml:space="preserve">: </w:t>
      </w:r>
      <w:r>
        <w:rPr>
          <w:b/>
          <w:bCs/>
        </w:rPr>
        <w:t>RAN2 to study CA setup improvements for UEs in connected mode.</w:t>
      </w:r>
    </w:p>
    <w:p w14:paraId="18B50563" w14:textId="77777777" w:rsidR="00094C68" w:rsidRDefault="00094C68" w:rsidP="00094C68">
      <w:pPr>
        <w:rPr>
          <w:b/>
        </w:rPr>
      </w:pPr>
      <w:r w:rsidRPr="00CC6914">
        <w:rPr>
          <w:b/>
          <w:bCs/>
        </w:rPr>
        <w:t>Proposal</w:t>
      </w:r>
      <w:r w:rsidRPr="00E22D06">
        <w:rPr>
          <w:b/>
          <w:bCs/>
        </w:rPr>
        <w:t xml:space="preserve"> </w:t>
      </w:r>
      <w:r>
        <w:rPr>
          <w:b/>
          <w:bCs/>
        </w:rPr>
        <w:t>6</w:t>
      </w:r>
      <w:r w:rsidRPr="00E22D06">
        <w:rPr>
          <w:b/>
          <w:bCs/>
        </w:rPr>
        <w:t xml:space="preserve">: </w:t>
      </w:r>
      <w:r w:rsidRPr="00CC6914">
        <w:rPr>
          <w:b/>
          <w:bCs/>
        </w:rPr>
        <w:t xml:space="preserve"> </w:t>
      </w:r>
      <w:r>
        <w:rPr>
          <w:b/>
          <w:bCs/>
        </w:rPr>
        <w:t>RAN2 to study extending CHO feature to allow SCG addition in MR-DC deployments.</w:t>
      </w:r>
    </w:p>
    <w:p w14:paraId="35E42E36" w14:textId="77777777" w:rsidR="00094C68" w:rsidRPr="0042218C" w:rsidRDefault="00094C68" w:rsidP="00094C68">
      <w:pPr>
        <w:rPr>
          <w:b/>
          <w:bCs/>
        </w:rPr>
      </w:pPr>
      <w:r w:rsidRPr="0042218C">
        <w:rPr>
          <w:b/>
          <w:bCs/>
        </w:rPr>
        <w:t>Proposal</w:t>
      </w:r>
      <w:r w:rsidRPr="61975C86">
        <w:rPr>
          <w:b/>
          <w:bCs/>
        </w:rPr>
        <w:t xml:space="preserve"> </w:t>
      </w:r>
      <w:r>
        <w:rPr>
          <w:b/>
          <w:bCs/>
        </w:rPr>
        <w:t>7</w:t>
      </w:r>
      <w:r w:rsidRPr="0042218C">
        <w:rPr>
          <w:b/>
          <w:bCs/>
        </w:rPr>
        <w:t>:</w:t>
      </w:r>
      <w:r w:rsidRPr="61975C86">
        <w:t xml:space="preserve">  </w:t>
      </w:r>
      <w:r w:rsidRPr="61975C86">
        <w:rPr>
          <w:b/>
          <w:bCs/>
        </w:rPr>
        <w:t xml:space="preserve">RAN2 is asked to consider studying the options for speeding up </w:t>
      </w:r>
      <w:proofErr w:type="spellStart"/>
      <w:r w:rsidRPr="61975C86">
        <w:rPr>
          <w:b/>
          <w:bCs/>
        </w:rPr>
        <w:t>SCell</w:t>
      </w:r>
      <w:proofErr w:type="spellEnd"/>
      <w:r w:rsidRPr="61975C86">
        <w:rPr>
          <w:b/>
          <w:bCs/>
        </w:rPr>
        <w:t xml:space="preserve">(s)/SN setup, in scenarios with or without mobility aspect </w:t>
      </w:r>
      <w:proofErr w:type="gramStart"/>
      <w:r w:rsidRPr="61975C86">
        <w:rPr>
          <w:b/>
          <w:bCs/>
        </w:rPr>
        <w:t>taken into account</w:t>
      </w:r>
      <w:proofErr w:type="gramEnd"/>
      <w:r w:rsidRPr="61975C86">
        <w:rPr>
          <w:b/>
          <w:bCs/>
        </w:rPr>
        <w:t>.</w:t>
      </w:r>
    </w:p>
    <w:p w14:paraId="5DAA3123" w14:textId="33FA90C4" w:rsidR="00094C68" w:rsidRDefault="00094C68" w:rsidP="00094C68">
      <w:pPr>
        <w:rPr>
          <w:b/>
          <w:bCs/>
        </w:rPr>
      </w:pPr>
      <w:r w:rsidRPr="0042218C">
        <w:rPr>
          <w:b/>
          <w:bCs/>
        </w:rPr>
        <w:t xml:space="preserve">Proposal </w:t>
      </w:r>
      <w:r>
        <w:rPr>
          <w:b/>
          <w:bCs/>
        </w:rPr>
        <w:t>8</w:t>
      </w:r>
      <w:r w:rsidRPr="0042218C">
        <w:rPr>
          <w:b/>
          <w:bCs/>
        </w:rPr>
        <w:t xml:space="preserve">: RAN2 is asked to consider on-time data forwarding </w:t>
      </w:r>
      <w:r>
        <w:rPr>
          <w:b/>
          <w:bCs/>
        </w:rPr>
        <w:t>to the selected target SN in</w:t>
      </w:r>
      <w:r w:rsidRPr="0042218C">
        <w:rPr>
          <w:b/>
          <w:bCs/>
        </w:rPr>
        <w:t xml:space="preserve"> inter-SN CPC and release</w:t>
      </w:r>
      <w:r>
        <w:rPr>
          <w:b/>
          <w:bCs/>
        </w:rPr>
        <w:t>. A cooperation with RAN3 is required</w:t>
      </w:r>
      <w:r w:rsidRPr="0042218C">
        <w:rPr>
          <w:b/>
          <w:bCs/>
        </w:rPr>
        <w:t>.</w:t>
      </w:r>
    </w:p>
    <w:p w14:paraId="047F0B15" w14:textId="77777777" w:rsidR="00094C68" w:rsidRDefault="00094C68" w:rsidP="00094C68">
      <w:pPr>
        <w:rPr>
          <w:b/>
          <w:bCs/>
        </w:rPr>
      </w:pPr>
      <w:r w:rsidRPr="0042218C">
        <w:rPr>
          <w:b/>
          <w:bCs/>
        </w:rPr>
        <w:t xml:space="preserve">Proposal </w:t>
      </w:r>
      <w:r>
        <w:rPr>
          <w:b/>
          <w:bCs/>
        </w:rPr>
        <w:t>9</w:t>
      </w:r>
      <w:r w:rsidRPr="0042218C">
        <w:rPr>
          <w:b/>
          <w:bCs/>
        </w:rPr>
        <w:t xml:space="preserve">: RAN2 is asked to consider </w:t>
      </w:r>
      <w:r>
        <w:rPr>
          <w:b/>
          <w:bCs/>
        </w:rPr>
        <w:t xml:space="preserve">the </w:t>
      </w:r>
      <w:r w:rsidRPr="0042218C">
        <w:rPr>
          <w:b/>
          <w:bCs/>
        </w:rPr>
        <w:t>avoid</w:t>
      </w:r>
      <w:r>
        <w:rPr>
          <w:b/>
          <w:bCs/>
        </w:rPr>
        <w:t>ance of</w:t>
      </w:r>
      <w:r w:rsidRPr="0042218C">
        <w:rPr>
          <w:b/>
          <w:bCs/>
        </w:rPr>
        <w:t xml:space="preserve"> unnecessary re-establishment</w:t>
      </w:r>
      <w:r>
        <w:rPr>
          <w:b/>
          <w:bCs/>
        </w:rPr>
        <w:t xml:space="preserve"> caused by applying an RRC reconfiguration, received via MN while CPC is executed. The UE may no longer comply with that configuration due to the change of SCG configuration.</w:t>
      </w:r>
    </w:p>
    <w:p w14:paraId="673D8DBE" w14:textId="4EB06AB9" w:rsidR="00002E0A" w:rsidRPr="004F7900" w:rsidRDefault="00094C68" w:rsidP="008700DC">
      <w:r w:rsidRPr="00FB6C5F">
        <w:rPr>
          <w:b/>
          <w:bCs/>
        </w:rPr>
        <w:t xml:space="preserve">Proposal </w:t>
      </w:r>
      <w:r>
        <w:rPr>
          <w:b/>
          <w:bCs/>
        </w:rPr>
        <w:t>10</w:t>
      </w:r>
      <w:r w:rsidRPr="00FB6C5F">
        <w:rPr>
          <w:b/>
          <w:bCs/>
        </w:rPr>
        <w:t xml:space="preserve">: </w:t>
      </w:r>
      <w:r>
        <w:rPr>
          <w:b/>
          <w:bCs/>
        </w:rPr>
        <w:t xml:space="preserve">To improve the fast setup of dual connectivity after mobility, </w:t>
      </w:r>
      <w:r w:rsidRPr="00FB6C5F">
        <w:rPr>
          <w:b/>
          <w:bCs/>
        </w:rPr>
        <w:t xml:space="preserve">RAN2 is asked to consider solutions </w:t>
      </w:r>
      <w:r>
        <w:rPr>
          <w:b/>
          <w:bCs/>
        </w:rPr>
        <w:t>related to 1) CPA after CHO or 2) CHO with dual connectivity.</w:t>
      </w:r>
    </w:p>
    <w:p w14:paraId="4DB29DC1" w14:textId="1B212202" w:rsidR="003D6F04" w:rsidRPr="006E13D1" w:rsidRDefault="003D6F04" w:rsidP="003D6F04">
      <w:pPr>
        <w:pStyle w:val="Heading1"/>
      </w:pPr>
      <w:r>
        <w:t>References</w:t>
      </w:r>
    </w:p>
    <w:p w14:paraId="0F1354A9" w14:textId="72CC07CD" w:rsidR="008E6B45" w:rsidRPr="004A0F51" w:rsidRDefault="003D6F04" w:rsidP="00B755A9">
      <w:pPr>
        <w:overflowPunct w:val="0"/>
        <w:adjustRightInd w:val="0"/>
        <w:spacing w:line="259" w:lineRule="auto"/>
        <w:textAlignment w:val="baseline"/>
      </w:pPr>
      <w:r>
        <w:t>[1]</w:t>
      </w:r>
      <w:r w:rsidR="00B755A9">
        <w:t xml:space="preserve"> </w:t>
      </w:r>
      <w:r w:rsidR="00DF7A0C" w:rsidRPr="004A0F51">
        <w:t>RP-193249, New WID on further enhancements on Multi-Radio Dual-Connectivity – Huawei, 3GPP TSG RAN Meeting #86</w:t>
      </w:r>
      <w:r w:rsidR="00DF7A0C" w:rsidRPr="004A0F51">
        <w:tab/>
        <w:t xml:space="preserve">RP-193249, </w:t>
      </w:r>
      <w:proofErr w:type="spellStart"/>
      <w:r w:rsidR="00DF7A0C" w:rsidRPr="004A0F51">
        <w:t>Sitges</w:t>
      </w:r>
      <w:proofErr w:type="spellEnd"/>
      <w:r w:rsidR="00DF7A0C" w:rsidRPr="004A0F51">
        <w:t>, Spain, December 9th-12th, 2019</w:t>
      </w:r>
    </w:p>
    <w:p w14:paraId="7974CE03" w14:textId="18544A92" w:rsidR="00E5158F" w:rsidRPr="004A0F51" w:rsidRDefault="00E5158F" w:rsidP="00E5158F">
      <w:pPr>
        <w:overflowPunct w:val="0"/>
        <w:adjustRightInd w:val="0"/>
        <w:spacing w:line="259" w:lineRule="auto"/>
        <w:textAlignment w:val="baseline"/>
      </w:pPr>
      <w:r>
        <w:t>[</w:t>
      </w:r>
      <w:r w:rsidR="00BF6A2A">
        <w:t>2</w:t>
      </w:r>
      <w:r>
        <w:t xml:space="preserve">] TS 37.340 </w:t>
      </w:r>
      <w:r w:rsidRPr="00094C68">
        <w:rPr>
          <w:i/>
          <w:iCs/>
        </w:rPr>
        <w:t>E-UTRA and NR; Multi-connectivity; Stage 2</w:t>
      </w:r>
      <w:r>
        <w:t>, version 16.2.0</w:t>
      </w:r>
    </w:p>
    <w:p w14:paraId="79D2B5CA" w14:textId="77777777" w:rsidR="00B755A9" w:rsidRPr="00B755A9" w:rsidRDefault="00B755A9" w:rsidP="00B755A9"/>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3B838" w14:textId="77777777" w:rsidR="00184AC9" w:rsidRDefault="00184AC9">
      <w:r>
        <w:separator/>
      </w:r>
    </w:p>
  </w:endnote>
  <w:endnote w:type="continuationSeparator" w:id="0">
    <w:p w14:paraId="704114BD" w14:textId="77777777" w:rsidR="00184AC9" w:rsidRDefault="00184AC9">
      <w:r>
        <w:continuationSeparator/>
      </w:r>
    </w:p>
  </w:endnote>
  <w:endnote w:type="continuationNotice" w:id="1">
    <w:p w14:paraId="33CF69C3" w14:textId="77777777" w:rsidR="00184AC9" w:rsidRDefault="00184A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65B269" w14:textId="77777777" w:rsidR="00184AC9" w:rsidRDefault="00184AC9">
      <w:r>
        <w:separator/>
      </w:r>
    </w:p>
  </w:footnote>
  <w:footnote w:type="continuationSeparator" w:id="0">
    <w:p w14:paraId="6D133BFC" w14:textId="77777777" w:rsidR="00184AC9" w:rsidRDefault="00184AC9">
      <w:r>
        <w:continuationSeparator/>
      </w:r>
    </w:p>
  </w:footnote>
  <w:footnote w:type="continuationNotice" w:id="1">
    <w:p w14:paraId="5D0D3159" w14:textId="77777777" w:rsidR="00184AC9" w:rsidRDefault="00184A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4B2135"/>
    <w:multiLevelType w:val="hybridMultilevel"/>
    <w:tmpl w:val="FE42B6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CC63E72"/>
    <w:multiLevelType w:val="hybridMultilevel"/>
    <w:tmpl w:val="DC683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45CEE"/>
    <w:multiLevelType w:val="multilevel"/>
    <w:tmpl w:val="CD2A45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FAF4C61"/>
    <w:multiLevelType w:val="hybridMultilevel"/>
    <w:tmpl w:val="BEF439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F10D78"/>
    <w:multiLevelType w:val="hybridMultilevel"/>
    <w:tmpl w:val="BC9EA7EE"/>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046980"/>
    <w:multiLevelType w:val="hybridMultilevel"/>
    <w:tmpl w:val="F990A792"/>
    <w:lvl w:ilvl="0" w:tplc="4B9AE130">
      <w:start w:val="1"/>
      <w:numFmt w:val="bullet"/>
      <w:lvlText w:val="•"/>
      <w:lvlJc w:val="left"/>
      <w:pPr>
        <w:tabs>
          <w:tab w:val="num" w:pos="720"/>
        </w:tabs>
        <w:ind w:left="720" w:hanging="360"/>
      </w:pPr>
      <w:rPr>
        <w:rFonts w:ascii="Arial" w:hAnsi="Arial" w:hint="default"/>
      </w:rPr>
    </w:lvl>
    <w:lvl w:ilvl="1" w:tplc="A95A7D22">
      <w:start w:val="1"/>
      <w:numFmt w:val="bullet"/>
      <w:lvlText w:val="•"/>
      <w:lvlJc w:val="left"/>
      <w:pPr>
        <w:tabs>
          <w:tab w:val="num" w:pos="1440"/>
        </w:tabs>
        <w:ind w:left="1440" w:hanging="360"/>
      </w:pPr>
      <w:rPr>
        <w:rFonts w:ascii="Arial" w:hAnsi="Arial" w:hint="default"/>
      </w:rPr>
    </w:lvl>
    <w:lvl w:ilvl="2" w:tplc="FD80A5F6">
      <w:start w:val="1"/>
      <w:numFmt w:val="bullet"/>
      <w:lvlText w:val="•"/>
      <w:lvlJc w:val="left"/>
      <w:pPr>
        <w:tabs>
          <w:tab w:val="num" w:pos="2160"/>
        </w:tabs>
        <w:ind w:left="2160" w:hanging="360"/>
      </w:pPr>
      <w:rPr>
        <w:rFonts w:ascii="Arial" w:hAnsi="Arial" w:hint="default"/>
      </w:rPr>
    </w:lvl>
    <w:lvl w:ilvl="3" w:tplc="4F5A9950" w:tentative="1">
      <w:start w:val="1"/>
      <w:numFmt w:val="bullet"/>
      <w:lvlText w:val="•"/>
      <w:lvlJc w:val="left"/>
      <w:pPr>
        <w:tabs>
          <w:tab w:val="num" w:pos="2880"/>
        </w:tabs>
        <w:ind w:left="2880" w:hanging="360"/>
      </w:pPr>
      <w:rPr>
        <w:rFonts w:ascii="Arial" w:hAnsi="Arial" w:hint="default"/>
      </w:rPr>
    </w:lvl>
    <w:lvl w:ilvl="4" w:tplc="17DCADFE" w:tentative="1">
      <w:start w:val="1"/>
      <w:numFmt w:val="bullet"/>
      <w:lvlText w:val="•"/>
      <w:lvlJc w:val="left"/>
      <w:pPr>
        <w:tabs>
          <w:tab w:val="num" w:pos="3600"/>
        </w:tabs>
        <w:ind w:left="3600" w:hanging="360"/>
      </w:pPr>
      <w:rPr>
        <w:rFonts w:ascii="Arial" w:hAnsi="Arial" w:hint="default"/>
      </w:rPr>
    </w:lvl>
    <w:lvl w:ilvl="5" w:tplc="64A47F18" w:tentative="1">
      <w:start w:val="1"/>
      <w:numFmt w:val="bullet"/>
      <w:lvlText w:val="•"/>
      <w:lvlJc w:val="left"/>
      <w:pPr>
        <w:tabs>
          <w:tab w:val="num" w:pos="4320"/>
        </w:tabs>
        <w:ind w:left="4320" w:hanging="360"/>
      </w:pPr>
      <w:rPr>
        <w:rFonts w:ascii="Arial" w:hAnsi="Arial" w:hint="default"/>
      </w:rPr>
    </w:lvl>
    <w:lvl w:ilvl="6" w:tplc="17F20A4E" w:tentative="1">
      <w:start w:val="1"/>
      <w:numFmt w:val="bullet"/>
      <w:lvlText w:val="•"/>
      <w:lvlJc w:val="left"/>
      <w:pPr>
        <w:tabs>
          <w:tab w:val="num" w:pos="5040"/>
        </w:tabs>
        <w:ind w:left="5040" w:hanging="360"/>
      </w:pPr>
      <w:rPr>
        <w:rFonts w:ascii="Arial" w:hAnsi="Arial" w:hint="default"/>
      </w:rPr>
    </w:lvl>
    <w:lvl w:ilvl="7" w:tplc="8CCE20EC" w:tentative="1">
      <w:start w:val="1"/>
      <w:numFmt w:val="bullet"/>
      <w:lvlText w:val="•"/>
      <w:lvlJc w:val="left"/>
      <w:pPr>
        <w:tabs>
          <w:tab w:val="num" w:pos="5760"/>
        </w:tabs>
        <w:ind w:left="5760" w:hanging="360"/>
      </w:pPr>
      <w:rPr>
        <w:rFonts w:ascii="Arial" w:hAnsi="Arial" w:hint="default"/>
      </w:rPr>
    </w:lvl>
    <w:lvl w:ilvl="8" w:tplc="7CDEC2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B53736"/>
    <w:multiLevelType w:val="hybridMultilevel"/>
    <w:tmpl w:val="A1C45B8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70641CC"/>
    <w:multiLevelType w:val="multilevel"/>
    <w:tmpl w:val="C02CF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CF0F46"/>
    <w:multiLevelType w:val="multilevel"/>
    <w:tmpl w:val="3D680B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D596104"/>
    <w:multiLevelType w:val="hybridMultilevel"/>
    <w:tmpl w:val="4FD0447C"/>
    <w:lvl w:ilvl="0" w:tplc="AD32F77A">
      <w:start w:val="1"/>
      <w:numFmt w:val="bullet"/>
      <w:lvlText w:val=""/>
      <w:lvlJc w:val="left"/>
      <w:pPr>
        <w:tabs>
          <w:tab w:val="num" w:pos="720"/>
        </w:tabs>
        <w:ind w:left="720" w:hanging="360"/>
      </w:pPr>
      <w:rPr>
        <w:rFonts w:ascii="Symbol" w:hAnsi="Symbol" w:hint="default"/>
      </w:rPr>
    </w:lvl>
    <w:lvl w:ilvl="1" w:tplc="CF8E336C">
      <w:start w:val="278"/>
      <w:numFmt w:val="bullet"/>
      <w:lvlText w:val="o"/>
      <w:lvlJc w:val="left"/>
      <w:pPr>
        <w:tabs>
          <w:tab w:val="num" w:pos="1440"/>
        </w:tabs>
        <w:ind w:left="1440" w:hanging="360"/>
      </w:pPr>
      <w:rPr>
        <w:rFonts w:ascii="Courier New" w:hAnsi="Courier New" w:hint="default"/>
      </w:rPr>
    </w:lvl>
    <w:lvl w:ilvl="2" w:tplc="239692E2">
      <w:start w:val="278"/>
      <w:numFmt w:val="bullet"/>
      <w:lvlText w:val="o"/>
      <w:lvlJc w:val="left"/>
      <w:pPr>
        <w:tabs>
          <w:tab w:val="num" w:pos="2160"/>
        </w:tabs>
        <w:ind w:left="2160" w:hanging="360"/>
      </w:pPr>
      <w:rPr>
        <w:rFonts w:ascii="Courier New" w:hAnsi="Courier New" w:hint="default"/>
      </w:rPr>
    </w:lvl>
    <w:lvl w:ilvl="3" w:tplc="6CD81210">
      <w:start w:val="278"/>
      <w:numFmt w:val="bullet"/>
      <w:lvlText w:val=""/>
      <w:lvlJc w:val="left"/>
      <w:pPr>
        <w:tabs>
          <w:tab w:val="num" w:pos="2880"/>
        </w:tabs>
        <w:ind w:left="2880" w:hanging="360"/>
      </w:pPr>
      <w:rPr>
        <w:rFonts w:ascii="Wingdings" w:hAnsi="Wingdings" w:hint="default"/>
      </w:rPr>
    </w:lvl>
    <w:lvl w:ilvl="4" w:tplc="577231B0" w:tentative="1">
      <w:start w:val="1"/>
      <w:numFmt w:val="bullet"/>
      <w:lvlText w:val=""/>
      <w:lvlJc w:val="left"/>
      <w:pPr>
        <w:tabs>
          <w:tab w:val="num" w:pos="3600"/>
        </w:tabs>
        <w:ind w:left="3600" w:hanging="360"/>
      </w:pPr>
      <w:rPr>
        <w:rFonts w:ascii="Symbol" w:hAnsi="Symbol" w:hint="default"/>
      </w:rPr>
    </w:lvl>
    <w:lvl w:ilvl="5" w:tplc="752EE2FC" w:tentative="1">
      <w:start w:val="1"/>
      <w:numFmt w:val="bullet"/>
      <w:lvlText w:val=""/>
      <w:lvlJc w:val="left"/>
      <w:pPr>
        <w:tabs>
          <w:tab w:val="num" w:pos="4320"/>
        </w:tabs>
        <w:ind w:left="4320" w:hanging="360"/>
      </w:pPr>
      <w:rPr>
        <w:rFonts w:ascii="Symbol" w:hAnsi="Symbol" w:hint="default"/>
      </w:rPr>
    </w:lvl>
    <w:lvl w:ilvl="6" w:tplc="6A00F988" w:tentative="1">
      <w:start w:val="1"/>
      <w:numFmt w:val="bullet"/>
      <w:lvlText w:val=""/>
      <w:lvlJc w:val="left"/>
      <w:pPr>
        <w:tabs>
          <w:tab w:val="num" w:pos="5040"/>
        </w:tabs>
        <w:ind w:left="5040" w:hanging="360"/>
      </w:pPr>
      <w:rPr>
        <w:rFonts w:ascii="Symbol" w:hAnsi="Symbol" w:hint="default"/>
      </w:rPr>
    </w:lvl>
    <w:lvl w:ilvl="7" w:tplc="7354C0CE" w:tentative="1">
      <w:start w:val="1"/>
      <w:numFmt w:val="bullet"/>
      <w:lvlText w:val=""/>
      <w:lvlJc w:val="left"/>
      <w:pPr>
        <w:tabs>
          <w:tab w:val="num" w:pos="5760"/>
        </w:tabs>
        <w:ind w:left="5760" w:hanging="360"/>
      </w:pPr>
      <w:rPr>
        <w:rFonts w:ascii="Symbol" w:hAnsi="Symbol" w:hint="default"/>
      </w:rPr>
    </w:lvl>
    <w:lvl w:ilvl="8" w:tplc="19CAD61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106765F"/>
    <w:multiLevelType w:val="hybridMultilevel"/>
    <w:tmpl w:val="CFCC8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cs="Times New Roman" w:hint="default"/>
      </w:rPr>
    </w:lvl>
    <w:lvl w:ilvl="1" w:tplc="D9E6FF5E">
      <w:numFmt w:val="bullet"/>
      <w:lvlText w:val="•"/>
      <w:lvlJc w:val="left"/>
      <w:pPr>
        <w:tabs>
          <w:tab w:val="num" w:pos="1440"/>
        </w:tabs>
        <w:ind w:left="1440" w:hanging="360"/>
      </w:pPr>
      <w:rPr>
        <w:rFonts w:ascii="Arial" w:hAnsi="Arial" w:cs="Times New Roman" w:hint="default"/>
      </w:rPr>
    </w:lvl>
    <w:lvl w:ilvl="2" w:tplc="7AC0B08A">
      <w:numFmt w:val="bullet"/>
      <w:lvlText w:val="•"/>
      <w:lvlJc w:val="left"/>
      <w:pPr>
        <w:tabs>
          <w:tab w:val="num" w:pos="2160"/>
        </w:tabs>
        <w:ind w:left="2160" w:hanging="360"/>
      </w:pPr>
      <w:rPr>
        <w:rFonts w:ascii="Arial" w:hAnsi="Arial" w:cs="Times New Roman" w:hint="default"/>
      </w:rPr>
    </w:lvl>
    <w:lvl w:ilvl="3" w:tplc="228A6A9C">
      <w:numFmt w:val="bullet"/>
      <w:lvlText w:val="•"/>
      <w:lvlJc w:val="left"/>
      <w:pPr>
        <w:tabs>
          <w:tab w:val="num" w:pos="2880"/>
        </w:tabs>
        <w:ind w:left="2880" w:hanging="360"/>
      </w:pPr>
      <w:rPr>
        <w:rFonts w:ascii="Arial" w:hAnsi="Arial" w:cs="Times New Roman" w:hint="default"/>
      </w:rPr>
    </w:lvl>
    <w:lvl w:ilvl="4" w:tplc="6C4655A4">
      <w:start w:val="1"/>
      <w:numFmt w:val="bullet"/>
      <w:lvlText w:val="•"/>
      <w:lvlJc w:val="left"/>
      <w:pPr>
        <w:tabs>
          <w:tab w:val="num" w:pos="3600"/>
        </w:tabs>
        <w:ind w:left="3600" w:hanging="360"/>
      </w:pPr>
      <w:rPr>
        <w:rFonts w:ascii="Arial" w:hAnsi="Arial" w:cs="Times New Roman" w:hint="default"/>
      </w:rPr>
    </w:lvl>
    <w:lvl w:ilvl="5" w:tplc="E46EFD58">
      <w:start w:val="1"/>
      <w:numFmt w:val="bullet"/>
      <w:lvlText w:val="•"/>
      <w:lvlJc w:val="left"/>
      <w:pPr>
        <w:tabs>
          <w:tab w:val="num" w:pos="4320"/>
        </w:tabs>
        <w:ind w:left="4320" w:hanging="360"/>
      </w:pPr>
      <w:rPr>
        <w:rFonts w:ascii="Arial" w:hAnsi="Arial" w:cs="Times New Roman" w:hint="default"/>
      </w:rPr>
    </w:lvl>
    <w:lvl w:ilvl="6" w:tplc="9B907152">
      <w:start w:val="1"/>
      <w:numFmt w:val="bullet"/>
      <w:lvlText w:val="•"/>
      <w:lvlJc w:val="left"/>
      <w:pPr>
        <w:tabs>
          <w:tab w:val="num" w:pos="5040"/>
        </w:tabs>
        <w:ind w:left="5040" w:hanging="360"/>
      </w:pPr>
      <w:rPr>
        <w:rFonts w:ascii="Arial" w:hAnsi="Arial" w:cs="Times New Roman" w:hint="default"/>
      </w:rPr>
    </w:lvl>
    <w:lvl w:ilvl="7" w:tplc="BFF0F52E">
      <w:start w:val="1"/>
      <w:numFmt w:val="bullet"/>
      <w:lvlText w:val="•"/>
      <w:lvlJc w:val="left"/>
      <w:pPr>
        <w:tabs>
          <w:tab w:val="num" w:pos="5760"/>
        </w:tabs>
        <w:ind w:left="5760" w:hanging="360"/>
      </w:pPr>
      <w:rPr>
        <w:rFonts w:ascii="Arial" w:hAnsi="Arial" w:cs="Times New Roman" w:hint="default"/>
      </w:rPr>
    </w:lvl>
    <w:lvl w:ilvl="8" w:tplc="6D8038C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C9C7030"/>
    <w:multiLevelType w:val="multilevel"/>
    <w:tmpl w:val="3C9C7030"/>
    <w:lvl w:ilvl="0">
      <w:start w:val="1"/>
      <w:numFmt w:val="decimal"/>
      <w:lvlText w:val="[%1]"/>
      <w:lvlJc w:val="left"/>
      <w:pPr>
        <w:ind w:left="360" w:hanging="360"/>
      </w:pPr>
      <w:rPr>
        <w:rFonts w:hint="default"/>
        <w:sz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E1D1813"/>
    <w:multiLevelType w:val="hybridMultilevel"/>
    <w:tmpl w:val="66E02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EF1D6D"/>
    <w:multiLevelType w:val="hybridMultilevel"/>
    <w:tmpl w:val="09988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D138C8"/>
    <w:multiLevelType w:val="hybridMultilevel"/>
    <w:tmpl w:val="173230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15204"/>
    <w:multiLevelType w:val="hybridMultilevel"/>
    <w:tmpl w:val="58AE7B26"/>
    <w:lvl w:ilvl="0" w:tplc="B150B9D2">
      <w:start w:val="1"/>
      <w:numFmt w:val="decimal"/>
      <w:lvlText w:val="%1)"/>
      <w:lvlJc w:val="left"/>
      <w:pPr>
        <w:ind w:left="72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8D45C9"/>
    <w:multiLevelType w:val="multilevel"/>
    <w:tmpl w:val="C3BCB7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BD5A81"/>
    <w:multiLevelType w:val="hybridMultilevel"/>
    <w:tmpl w:val="BB809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9962CD"/>
    <w:multiLevelType w:val="multilevel"/>
    <w:tmpl w:val="30188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476600"/>
    <w:multiLevelType w:val="hybridMultilevel"/>
    <w:tmpl w:val="D9785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4CBA4CC0"/>
    <w:multiLevelType w:val="hybridMultilevel"/>
    <w:tmpl w:val="E880124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2EE41A5"/>
    <w:multiLevelType w:val="hybridMultilevel"/>
    <w:tmpl w:val="413851A6"/>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31"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7F3A96"/>
    <w:multiLevelType w:val="hybridMultilevel"/>
    <w:tmpl w:val="786677AC"/>
    <w:lvl w:ilvl="0" w:tplc="744865A8">
      <w:start w:val="5"/>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26E6AF7"/>
    <w:multiLevelType w:val="hybridMultilevel"/>
    <w:tmpl w:val="CAE08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9335AF"/>
    <w:multiLevelType w:val="hybridMultilevel"/>
    <w:tmpl w:val="77BAA70E"/>
    <w:lvl w:ilvl="0" w:tplc="744865A8">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2717BB"/>
    <w:multiLevelType w:val="hybridMultilevel"/>
    <w:tmpl w:val="4712D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5F1C7B"/>
    <w:multiLevelType w:val="hybridMultilevel"/>
    <w:tmpl w:val="94FCF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F45EEF"/>
    <w:multiLevelType w:val="hybridMultilevel"/>
    <w:tmpl w:val="5E1273A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8C6B73"/>
    <w:multiLevelType w:val="hybridMultilevel"/>
    <w:tmpl w:val="481E2104"/>
    <w:lvl w:ilvl="0" w:tplc="744865A8">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D7669C"/>
    <w:multiLevelType w:val="hybridMultilevel"/>
    <w:tmpl w:val="6416247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26"/>
  </w:num>
  <w:num w:numId="7">
    <w:abstractNumId w:val="27"/>
  </w:num>
  <w:num w:numId="8">
    <w:abstractNumId w:val="24"/>
  </w:num>
  <w:num w:numId="9">
    <w:abstractNumId w:val="5"/>
  </w:num>
  <w:num w:numId="10">
    <w:abstractNumId w:val="10"/>
  </w:num>
  <w:num w:numId="11">
    <w:abstractNumId w:val="11"/>
  </w:num>
  <w:num w:numId="12">
    <w:abstractNumId w:val="22"/>
  </w:num>
  <w:num w:numId="13">
    <w:abstractNumId w:val="33"/>
  </w:num>
  <w:num w:numId="14">
    <w:abstractNumId w:val="16"/>
  </w:num>
  <w:num w:numId="15">
    <w:abstractNumId w:val="12"/>
  </w:num>
  <w:num w:numId="16">
    <w:abstractNumId w:val="8"/>
  </w:num>
  <w:num w:numId="17">
    <w:abstractNumId w:val="41"/>
  </w:num>
  <w:num w:numId="18">
    <w:abstractNumId w:val="30"/>
  </w:num>
  <w:num w:numId="19">
    <w:abstractNumId w:val="21"/>
  </w:num>
  <w:num w:numId="20">
    <w:abstractNumId w:val="7"/>
  </w:num>
  <w:num w:numId="21">
    <w:abstractNumId w:val="9"/>
  </w:num>
  <w:num w:numId="22">
    <w:abstractNumId w:val="28"/>
  </w:num>
  <w:num w:numId="23">
    <w:abstractNumId w:val="17"/>
  </w:num>
  <w:num w:numId="24">
    <w:abstractNumId w:val="19"/>
  </w:num>
  <w:num w:numId="25">
    <w:abstractNumId w:val="6"/>
  </w:num>
  <w:num w:numId="26">
    <w:abstractNumId w:val="2"/>
  </w:num>
  <w:num w:numId="27">
    <w:abstractNumId w:val="29"/>
  </w:num>
  <w:num w:numId="28">
    <w:abstractNumId w:val="3"/>
  </w:num>
  <w:num w:numId="29">
    <w:abstractNumId w:val="39"/>
  </w:num>
  <w:num w:numId="30">
    <w:abstractNumId w:val="13"/>
  </w:num>
  <w:num w:numId="31">
    <w:abstractNumId w:val="4"/>
  </w:num>
  <w:num w:numId="32">
    <w:abstractNumId w:val="37"/>
  </w:num>
  <w:num w:numId="33">
    <w:abstractNumId w:val="18"/>
  </w:num>
  <w:num w:numId="34">
    <w:abstractNumId w:val="36"/>
  </w:num>
  <w:num w:numId="35">
    <w:abstractNumId w:val="23"/>
  </w:num>
  <w:num w:numId="36">
    <w:abstractNumId w:val="25"/>
  </w:num>
  <w:num w:numId="37">
    <w:abstractNumId w:val="38"/>
  </w:num>
  <w:num w:numId="38">
    <w:abstractNumId w:val="34"/>
  </w:num>
  <w:num w:numId="39">
    <w:abstractNumId w:val="20"/>
  </w:num>
  <w:num w:numId="40">
    <w:abstractNumId w:val="31"/>
  </w:num>
  <w:num w:numId="41">
    <w:abstractNumId w:val="40"/>
  </w:num>
  <w:num w:numId="42">
    <w:abstractNumId w:val="35"/>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E0A"/>
    <w:rsid w:val="000032BD"/>
    <w:rsid w:val="0000480B"/>
    <w:rsid w:val="000138A6"/>
    <w:rsid w:val="00016557"/>
    <w:rsid w:val="00016F77"/>
    <w:rsid w:val="00023C40"/>
    <w:rsid w:val="000242BA"/>
    <w:rsid w:val="00025D07"/>
    <w:rsid w:val="0002653E"/>
    <w:rsid w:val="00026C16"/>
    <w:rsid w:val="00027826"/>
    <w:rsid w:val="00027B1A"/>
    <w:rsid w:val="00033397"/>
    <w:rsid w:val="00034ABD"/>
    <w:rsid w:val="00040095"/>
    <w:rsid w:val="00043A8F"/>
    <w:rsid w:val="000452EB"/>
    <w:rsid w:val="000459FD"/>
    <w:rsid w:val="000520C3"/>
    <w:rsid w:val="000562BB"/>
    <w:rsid w:val="00057453"/>
    <w:rsid w:val="00061FAD"/>
    <w:rsid w:val="00065A12"/>
    <w:rsid w:val="00073A70"/>
    <w:rsid w:val="00073C9C"/>
    <w:rsid w:val="00076957"/>
    <w:rsid w:val="0007748E"/>
    <w:rsid w:val="00080512"/>
    <w:rsid w:val="000837C4"/>
    <w:rsid w:val="000849A2"/>
    <w:rsid w:val="00086789"/>
    <w:rsid w:val="000870DC"/>
    <w:rsid w:val="00087C91"/>
    <w:rsid w:val="00090468"/>
    <w:rsid w:val="00090774"/>
    <w:rsid w:val="00090B9A"/>
    <w:rsid w:val="000912C5"/>
    <w:rsid w:val="000919E7"/>
    <w:rsid w:val="00092811"/>
    <w:rsid w:val="00094568"/>
    <w:rsid w:val="00094C68"/>
    <w:rsid w:val="00096BEF"/>
    <w:rsid w:val="00097348"/>
    <w:rsid w:val="000A01BF"/>
    <w:rsid w:val="000A1DE3"/>
    <w:rsid w:val="000A25DC"/>
    <w:rsid w:val="000A443A"/>
    <w:rsid w:val="000A68DE"/>
    <w:rsid w:val="000A7110"/>
    <w:rsid w:val="000B136E"/>
    <w:rsid w:val="000B59D2"/>
    <w:rsid w:val="000B7BCF"/>
    <w:rsid w:val="000C522B"/>
    <w:rsid w:val="000D16B7"/>
    <w:rsid w:val="000D38EE"/>
    <w:rsid w:val="000D4AA0"/>
    <w:rsid w:val="000D5759"/>
    <w:rsid w:val="000D58AB"/>
    <w:rsid w:val="000E2C5E"/>
    <w:rsid w:val="000F10D5"/>
    <w:rsid w:val="000F1EB4"/>
    <w:rsid w:val="000F36EA"/>
    <w:rsid w:val="000F5433"/>
    <w:rsid w:val="00112AD5"/>
    <w:rsid w:val="00112F1A"/>
    <w:rsid w:val="00115B6E"/>
    <w:rsid w:val="00121E7F"/>
    <w:rsid w:val="00122683"/>
    <w:rsid w:val="00130363"/>
    <w:rsid w:val="00137AE9"/>
    <w:rsid w:val="001403F2"/>
    <w:rsid w:val="00142019"/>
    <w:rsid w:val="001447AB"/>
    <w:rsid w:val="00145075"/>
    <w:rsid w:val="0014603C"/>
    <w:rsid w:val="00147390"/>
    <w:rsid w:val="00147F0D"/>
    <w:rsid w:val="00151755"/>
    <w:rsid w:val="0015756A"/>
    <w:rsid w:val="00157F58"/>
    <w:rsid w:val="00161CB8"/>
    <w:rsid w:val="001666E4"/>
    <w:rsid w:val="0016701A"/>
    <w:rsid w:val="00171475"/>
    <w:rsid w:val="001714C5"/>
    <w:rsid w:val="0017195F"/>
    <w:rsid w:val="00173411"/>
    <w:rsid w:val="001741A0"/>
    <w:rsid w:val="001742B9"/>
    <w:rsid w:val="00175FA0"/>
    <w:rsid w:val="001770B4"/>
    <w:rsid w:val="0018041F"/>
    <w:rsid w:val="00181568"/>
    <w:rsid w:val="00184AC9"/>
    <w:rsid w:val="00185B4E"/>
    <w:rsid w:val="0018608B"/>
    <w:rsid w:val="00186BB9"/>
    <w:rsid w:val="00192C95"/>
    <w:rsid w:val="00194CD0"/>
    <w:rsid w:val="001A3844"/>
    <w:rsid w:val="001A52B9"/>
    <w:rsid w:val="001A611B"/>
    <w:rsid w:val="001B49C9"/>
    <w:rsid w:val="001B5D76"/>
    <w:rsid w:val="001B6424"/>
    <w:rsid w:val="001B7147"/>
    <w:rsid w:val="001B74B1"/>
    <w:rsid w:val="001C23F4"/>
    <w:rsid w:val="001C421F"/>
    <w:rsid w:val="001C4F79"/>
    <w:rsid w:val="001D079D"/>
    <w:rsid w:val="001D1245"/>
    <w:rsid w:val="001D1E2C"/>
    <w:rsid w:val="001D3A1F"/>
    <w:rsid w:val="001D3B97"/>
    <w:rsid w:val="001D598A"/>
    <w:rsid w:val="001D6C33"/>
    <w:rsid w:val="001D6F9F"/>
    <w:rsid w:val="001E2474"/>
    <w:rsid w:val="001E2DBE"/>
    <w:rsid w:val="001E7B3C"/>
    <w:rsid w:val="001F168B"/>
    <w:rsid w:val="001F7831"/>
    <w:rsid w:val="002019FF"/>
    <w:rsid w:val="00204045"/>
    <w:rsid w:val="0020712B"/>
    <w:rsid w:val="00210853"/>
    <w:rsid w:val="00215D0B"/>
    <w:rsid w:val="0022606D"/>
    <w:rsid w:val="0022749D"/>
    <w:rsid w:val="002278C3"/>
    <w:rsid w:val="002303D1"/>
    <w:rsid w:val="00231728"/>
    <w:rsid w:val="00232234"/>
    <w:rsid w:val="00233400"/>
    <w:rsid w:val="002367F4"/>
    <w:rsid w:val="002412A2"/>
    <w:rsid w:val="0024166E"/>
    <w:rsid w:val="002431A6"/>
    <w:rsid w:val="00243425"/>
    <w:rsid w:val="00250404"/>
    <w:rsid w:val="00250ECF"/>
    <w:rsid w:val="00253402"/>
    <w:rsid w:val="0025355C"/>
    <w:rsid w:val="00254021"/>
    <w:rsid w:val="00254CC1"/>
    <w:rsid w:val="00254D73"/>
    <w:rsid w:val="00255938"/>
    <w:rsid w:val="002610D8"/>
    <w:rsid w:val="00262700"/>
    <w:rsid w:val="00263597"/>
    <w:rsid w:val="00266745"/>
    <w:rsid w:val="0027047D"/>
    <w:rsid w:val="00273BA8"/>
    <w:rsid w:val="00274212"/>
    <w:rsid w:val="002747EC"/>
    <w:rsid w:val="00276480"/>
    <w:rsid w:val="0027770D"/>
    <w:rsid w:val="002855BF"/>
    <w:rsid w:val="00294144"/>
    <w:rsid w:val="002951E5"/>
    <w:rsid w:val="002A366E"/>
    <w:rsid w:val="002A4DBF"/>
    <w:rsid w:val="002A506D"/>
    <w:rsid w:val="002A5D41"/>
    <w:rsid w:val="002B0048"/>
    <w:rsid w:val="002B0663"/>
    <w:rsid w:val="002B0B61"/>
    <w:rsid w:val="002B3E45"/>
    <w:rsid w:val="002B4F23"/>
    <w:rsid w:val="002B66D6"/>
    <w:rsid w:val="002B6FD6"/>
    <w:rsid w:val="002C4FB7"/>
    <w:rsid w:val="002D3544"/>
    <w:rsid w:val="002E231C"/>
    <w:rsid w:val="002E32A1"/>
    <w:rsid w:val="002F0D22"/>
    <w:rsid w:val="002F3A21"/>
    <w:rsid w:val="0030318F"/>
    <w:rsid w:val="00303279"/>
    <w:rsid w:val="0030357E"/>
    <w:rsid w:val="00305094"/>
    <w:rsid w:val="00310AE0"/>
    <w:rsid w:val="00311B17"/>
    <w:rsid w:val="00313278"/>
    <w:rsid w:val="0031675A"/>
    <w:rsid w:val="003172DC"/>
    <w:rsid w:val="00323AB1"/>
    <w:rsid w:val="003258D8"/>
    <w:rsid w:val="00325AE3"/>
    <w:rsid w:val="00326069"/>
    <w:rsid w:val="00330C45"/>
    <w:rsid w:val="003433C7"/>
    <w:rsid w:val="00345D65"/>
    <w:rsid w:val="0034623E"/>
    <w:rsid w:val="003468C9"/>
    <w:rsid w:val="003505A0"/>
    <w:rsid w:val="00350959"/>
    <w:rsid w:val="00352D28"/>
    <w:rsid w:val="0035462D"/>
    <w:rsid w:val="003554C0"/>
    <w:rsid w:val="003562B6"/>
    <w:rsid w:val="00356FC4"/>
    <w:rsid w:val="00357C12"/>
    <w:rsid w:val="00360519"/>
    <w:rsid w:val="00360C9C"/>
    <w:rsid w:val="00361CD6"/>
    <w:rsid w:val="00364B41"/>
    <w:rsid w:val="003650F8"/>
    <w:rsid w:val="00372116"/>
    <w:rsid w:val="00374F3B"/>
    <w:rsid w:val="003753BA"/>
    <w:rsid w:val="0038033D"/>
    <w:rsid w:val="00383096"/>
    <w:rsid w:val="0039091B"/>
    <w:rsid w:val="0039346C"/>
    <w:rsid w:val="00393F32"/>
    <w:rsid w:val="003A05C3"/>
    <w:rsid w:val="003A0F31"/>
    <w:rsid w:val="003A2067"/>
    <w:rsid w:val="003A3325"/>
    <w:rsid w:val="003A41EF"/>
    <w:rsid w:val="003A456B"/>
    <w:rsid w:val="003B33C3"/>
    <w:rsid w:val="003B3583"/>
    <w:rsid w:val="003B40AD"/>
    <w:rsid w:val="003B64BE"/>
    <w:rsid w:val="003B6AEF"/>
    <w:rsid w:val="003C0056"/>
    <w:rsid w:val="003C0E4D"/>
    <w:rsid w:val="003C1B2B"/>
    <w:rsid w:val="003C2737"/>
    <w:rsid w:val="003C48B5"/>
    <w:rsid w:val="003C4E37"/>
    <w:rsid w:val="003C6007"/>
    <w:rsid w:val="003D1D3C"/>
    <w:rsid w:val="003D6F04"/>
    <w:rsid w:val="003D7DDF"/>
    <w:rsid w:val="003E12E1"/>
    <w:rsid w:val="003E16BE"/>
    <w:rsid w:val="003E2CA2"/>
    <w:rsid w:val="003E54AD"/>
    <w:rsid w:val="003E6715"/>
    <w:rsid w:val="003E78CC"/>
    <w:rsid w:val="003F0E8D"/>
    <w:rsid w:val="003F4943"/>
    <w:rsid w:val="003F4E28"/>
    <w:rsid w:val="003F5542"/>
    <w:rsid w:val="003F77A1"/>
    <w:rsid w:val="004006E8"/>
    <w:rsid w:val="0040130B"/>
    <w:rsid w:val="00401855"/>
    <w:rsid w:val="0041166C"/>
    <w:rsid w:val="00412989"/>
    <w:rsid w:val="004173C9"/>
    <w:rsid w:val="00422312"/>
    <w:rsid w:val="004270C6"/>
    <w:rsid w:val="004305AD"/>
    <w:rsid w:val="00432182"/>
    <w:rsid w:val="00434E44"/>
    <w:rsid w:val="00443A62"/>
    <w:rsid w:val="00446A86"/>
    <w:rsid w:val="0045303D"/>
    <w:rsid w:val="00454FF8"/>
    <w:rsid w:val="00462F2E"/>
    <w:rsid w:val="0046557C"/>
    <w:rsid w:val="00465587"/>
    <w:rsid w:val="004658F4"/>
    <w:rsid w:val="00470284"/>
    <w:rsid w:val="00476D15"/>
    <w:rsid w:val="0047707F"/>
    <w:rsid w:val="00477455"/>
    <w:rsid w:val="00481ABD"/>
    <w:rsid w:val="0048505E"/>
    <w:rsid w:val="00486DEC"/>
    <w:rsid w:val="004908B3"/>
    <w:rsid w:val="004947FA"/>
    <w:rsid w:val="004A0F51"/>
    <w:rsid w:val="004A1F7B"/>
    <w:rsid w:val="004A4A05"/>
    <w:rsid w:val="004A519F"/>
    <w:rsid w:val="004A5886"/>
    <w:rsid w:val="004A58D1"/>
    <w:rsid w:val="004A613C"/>
    <w:rsid w:val="004A772D"/>
    <w:rsid w:val="004A7AA7"/>
    <w:rsid w:val="004B667D"/>
    <w:rsid w:val="004B6A25"/>
    <w:rsid w:val="004B7E44"/>
    <w:rsid w:val="004C0AEC"/>
    <w:rsid w:val="004C44D2"/>
    <w:rsid w:val="004C7A62"/>
    <w:rsid w:val="004C7FAF"/>
    <w:rsid w:val="004D3578"/>
    <w:rsid w:val="004D380D"/>
    <w:rsid w:val="004D6577"/>
    <w:rsid w:val="004E12A0"/>
    <w:rsid w:val="004E213A"/>
    <w:rsid w:val="004E2ACA"/>
    <w:rsid w:val="004E3E47"/>
    <w:rsid w:val="004E68BD"/>
    <w:rsid w:val="004E7113"/>
    <w:rsid w:val="004E7BDE"/>
    <w:rsid w:val="004F33FB"/>
    <w:rsid w:val="004F37AC"/>
    <w:rsid w:val="004F5C02"/>
    <w:rsid w:val="004F7900"/>
    <w:rsid w:val="00501C23"/>
    <w:rsid w:val="00503171"/>
    <w:rsid w:val="00505AEC"/>
    <w:rsid w:val="00506C28"/>
    <w:rsid w:val="005075FC"/>
    <w:rsid w:val="00510A48"/>
    <w:rsid w:val="00510D0A"/>
    <w:rsid w:val="00513552"/>
    <w:rsid w:val="00516B02"/>
    <w:rsid w:val="00517424"/>
    <w:rsid w:val="00517526"/>
    <w:rsid w:val="00521C5F"/>
    <w:rsid w:val="00524722"/>
    <w:rsid w:val="00526571"/>
    <w:rsid w:val="005267C3"/>
    <w:rsid w:val="00527182"/>
    <w:rsid w:val="00530C76"/>
    <w:rsid w:val="00532939"/>
    <w:rsid w:val="00533D55"/>
    <w:rsid w:val="005344BA"/>
    <w:rsid w:val="00534DA0"/>
    <w:rsid w:val="00534DEF"/>
    <w:rsid w:val="00543E6C"/>
    <w:rsid w:val="005449C1"/>
    <w:rsid w:val="005450DE"/>
    <w:rsid w:val="005451AF"/>
    <w:rsid w:val="00545A54"/>
    <w:rsid w:val="0054685B"/>
    <w:rsid w:val="00554E27"/>
    <w:rsid w:val="005550A5"/>
    <w:rsid w:val="00556AB2"/>
    <w:rsid w:val="00557CCA"/>
    <w:rsid w:val="0056045A"/>
    <w:rsid w:val="005635A1"/>
    <w:rsid w:val="00564851"/>
    <w:rsid w:val="00565087"/>
    <w:rsid w:val="0056573F"/>
    <w:rsid w:val="005666D6"/>
    <w:rsid w:val="0057263C"/>
    <w:rsid w:val="00583EFE"/>
    <w:rsid w:val="005906CC"/>
    <w:rsid w:val="00591477"/>
    <w:rsid w:val="0059176C"/>
    <w:rsid w:val="00592936"/>
    <w:rsid w:val="005A1141"/>
    <w:rsid w:val="005A2A56"/>
    <w:rsid w:val="005A49C6"/>
    <w:rsid w:val="005A614C"/>
    <w:rsid w:val="005A7C9A"/>
    <w:rsid w:val="005C3130"/>
    <w:rsid w:val="005C5D46"/>
    <w:rsid w:val="005C75DA"/>
    <w:rsid w:val="005D3BEB"/>
    <w:rsid w:val="005D5DA9"/>
    <w:rsid w:val="005D75A3"/>
    <w:rsid w:val="005E025F"/>
    <w:rsid w:val="005E5736"/>
    <w:rsid w:val="005E6246"/>
    <w:rsid w:val="005F33BF"/>
    <w:rsid w:val="005F6F71"/>
    <w:rsid w:val="005F789A"/>
    <w:rsid w:val="006033D1"/>
    <w:rsid w:val="00604BCF"/>
    <w:rsid w:val="00605279"/>
    <w:rsid w:val="0061013F"/>
    <w:rsid w:val="00611566"/>
    <w:rsid w:val="0061398C"/>
    <w:rsid w:val="00614D53"/>
    <w:rsid w:val="006232B8"/>
    <w:rsid w:val="00626D1F"/>
    <w:rsid w:val="006270B8"/>
    <w:rsid w:val="00630AE5"/>
    <w:rsid w:val="006355E7"/>
    <w:rsid w:val="0063676B"/>
    <w:rsid w:val="00637121"/>
    <w:rsid w:val="006422AA"/>
    <w:rsid w:val="006435F3"/>
    <w:rsid w:val="0064405B"/>
    <w:rsid w:val="006467C8"/>
    <w:rsid w:val="00646B2B"/>
    <w:rsid w:val="00646D99"/>
    <w:rsid w:val="00646E56"/>
    <w:rsid w:val="00647880"/>
    <w:rsid w:val="0065032F"/>
    <w:rsid w:val="006530B9"/>
    <w:rsid w:val="00655A13"/>
    <w:rsid w:val="00656910"/>
    <w:rsid w:val="006574C0"/>
    <w:rsid w:val="006603CF"/>
    <w:rsid w:val="0066100E"/>
    <w:rsid w:val="00662AA9"/>
    <w:rsid w:val="00664CCE"/>
    <w:rsid w:val="0066590C"/>
    <w:rsid w:val="00667B14"/>
    <w:rsid w:val="00675876"/>
    <w:rsid w:val="00677DC9"/>
    <w:rsid w:val="006851D7"/>
    <w:rsid w:val="006904D1"/>
    <w:rsid w:val="00690A51"/>
    <w:rsid w:val="00691F6B"/>
    <w:rsid w:val="00694A77"/>
    <w:rsid w:val="00697174"/>
    <w:rsid w:val="006A569A"/>
    <w:rsid w:val="006B0422"/>
    <w:rsid w:val="006B14FD"/>
    <w:rsid w:val="006B2231"/>
    <w:rsid w:val="006B4D76"/>
    <w:rsid w:val="006B75F1"/>
    <w:rsid w:val="006B7FED"/>
    <w:rsid w:val="006C66D8"/>
    <w:rsid w:val="006D0CF4"/>
    <w:rsid w:val="006D1E24"/>
    <w:rsid w:val="006D53A6"/>
    <w:rsid w:val="006D7AF7"/>
    <w:rsid w:val="006E1417"/>
    <w:rsid w:val="006E2377"/>
    <w:rsid w:val="006E2C8F"/>
    <w:rsid w:val="006E4370"/>
    <w:rsid w:val="006E5E7F"/>
    <w:rsid w:val="006E6D8A"/>
    <w:rsid w:val="006E6E29"/>
    <w:rsid w:val="006F005D"/>
    <w:rsid w:val="006F0690"/>
    <w:rsid w:val="006F088D"/>
    <w:rsid w:val="006F1D31"/>
    <w:rsid w:val="006F3498"/>
    <w:rsid w:val="006F4574"/>
    <w:rsid w:val="006F6494"/>
    <w:rsid w:val="006F6A2C"/>
    <w:rsid w:val="0070012E"/>
    <w:rsid w:val="0070078A"/>
    <w:rsid w:val="00702BD6"/>
    <w:rsid w:val="0070364C"/>
    <w:rsid w:val="0070418A"/>
    <w:rsid w:val="0070460B"/>
    <w:rsid w:val="00704884"/>
    <w:rsid w:val="007069DC"/>
    <w:rsid w:val="00710201"/>
    <w:rsid w:val="00716878"/>
    <w:rsid w:val="0072073A"/>
    <w:rsid w:val="00727557"/>
    <w:rsid w:val="00727E14"/>
    <w:rsid w:val="007342B5"/>
    <w:rsid w:val="00734A5B"/>
    <w:rsid w:val="00737205"/>
    <w:rsid w:val="00743895"/>
    <w:rsid w:val="00744E76"/>
    <w:rsid w:val="0074694F"/>
    <w:rsid w:val="0074789C"/>
    <w:rsid w:val="00750E0F"/>
    <w:rsid w:val="00752D6A"/>
    <w:rsid w:val="007533A7"/>
    <w:rsid w:val="00757D40"/>
    <w:rsid w:val="00762371"/>
    <w:rsid w:val="00764599"/>
    <w:rsid w:val="007646B3"/>
    <w:rsid w:val="007662B5"/>
    <w:rsid w:val="00766A96"/>
    <w:rsid w:val="007719D1"/>
    <w:rsid w:val="00773918"/>
    <w:rsid w:val="00776D6A"/>
    <w:rsid w:val="00780A36"/>
    <w:rsid w:val="00781F0F"/>
    <w:rsid w:val="00782631"/>
    <w:rsid w:val="0078727C"/>
    <w:rsid w:val="0079049D"/>
    <w:rsid w:val="00793DC5"/>
    <w:rsid w:val="00795CDF"/>
    <w:rsid w:val="007976BD"/>
    <w:rsid w:val="007A08B2"/>
    <w:rsid w:val="007A0BAA"/>
    <w:rsid w:val="007A1460"/>
    <w:rsid w:val="007A2512"/>
    <w:rsid w:val="007A26DF"/>
    <w:rsid w:val="007A3C07"/>
    <w:rsid w:val="007A56DE"/>
    <w:rsid w:val="007A75F9"/>
    <w:rsid w:val="007B18D8"/>
    <w:rsid w:val="007B23D6"/>
    <w:rsid w:val="007B6DC4"/>
    <w:rsid w:val="007B7999"/>
    <w:rsid w:val="007C0448"/>
    <w:rsid w:val="007C07D6"/>
    <w:rsid w:val="007C095F"/>
    <w:rsid w:val="007C0CE1"/>
    <w:rsid w:val="007C2DD0"/>
    <w:rsid w:val="007C3678"/>
    <w:rsid w:val="007C386B"/>
    <w:rsid w:val="007C59FD"/>
    <w:rsid w:val="007C67E9"/>
    <w:rsid w:val="007C7689"/>
    <w:rsid w:val="007D111E"/>
    <w:rsid w:val="007D1756"/>
    <w:rsid w:val="007D2AD3"/>
    <w:rsid w:val="007D4454"/>
    <w:rsid w:val="007E2B11"/>
    <w:rsid w:val="007E2E12"/>
    <w:rsid w:val="007E39CA"/>
    <w:rsid w:val="007E4C02"/>
    <w:rsid w:val="007E4E48"/>
    <w:rsid w:val="007E5647"/>
    <w:rsid w:val="007F2529"/>
    <w:rsid w:val="007F2E08"/>
    <w:rsid w:val="00801F21"/>
    <w:rsid w:val="008028A4"/>
    <w:rsid w:val="00803434"/>
    <w:rsid w:val="008065EE"/>
    <w:rsid w:val="00807903"/>
    <w:rsid w:val="008121E6"/>
    <w:rsid w:val="00813245"/>
    <w:rsid w:val="00815E98"/>
    <w:rsid w:val="00824341"/>
    <w:rsid w:val="008319FD"/>
    <w:rsid w:val="00831FC0"/>
    <w:rsid w:val="00833B09"/>
    <w:rsid w:val="00836340"/>
    <w:rsid w:val="00840DE0"/>
    <w:rsid w:val="00841E05"/>
    <w:rsid w:val="00844476"/>
    <w:rsid w:val="008460F3"/>
    <w:rsid w:val="00854CD0"/>
    <w:rsid w:val="00857521"/>
    <w:rsid w:val="00861045"/>
    <w:rsid w:val="0086354A"/>
    <w:rsid w:val="008700DC"/>
    <w:rsid w:val="00871667"/>
    <w:rsid w:val="00871CAE"/>
    <w:rsid w:val="00871FD3"/>
    <w:rsid w:val="00873EEE"/>
    <w:rsid w:val="0087405A"/>
    <w:rsid w:val="0087619E"/>
    <w:rsid w:val="008768CA"/>
    <w:rsid w:val="00877EF9"/>
    <w:rsid w:val="00880559"/>
    <w:rsid w:val="00883821"/>
    <w:rsid w:val="008859A3"/>
    <w:rsid w:val="00885D2C"/>
    <w:rsid w:val="00887668"/>
    <w:rsid w:val="008924EE"/>
    <w:rsid w:val="00893A91"/>
    <w:rsid w:val="00897B13"/>
    <w:rsid w:val="008A2907"/>
    <w:rsid w:val="008A6280"/>
    <w:rsid w:val="008B3F78"/>
    <w:rsid w:val="008B4158"/>
    <w:rsid w:val="008B4AD9"/>
    <w:rsid w:val="008B4F02"/>
    <w:rsid w:val="008B5306"/>
    <w:rsid w:val="008B5B27"/>
    <w:rsid w:val="008C0848"/>
    <w:rsid w:val="008C243A"/>
    <w:rsid w:val="008C2E2A"/>
    <w:rsid w:val="008C3057"/>
    <w:rsid w:val="008C4116"/>
    <w:rsid w:val="008C4E31"/>
    <w:rsid w:val="008C5B16"/>
    <w:rsid w:val="008C5D92"/>
    <w:rsid w:val="008D2E4D"/>
    <w:rsid w:val="008D37F4"/>
    <w:rsid w:val="008D78B5"/>
    <w:rsid w:val="008E150A"/>
    <w:rsid w:val="008E4044"/>
    <w:rsid w:val="008E5E04"/>
    <w:rsid w:val="008E6B45"/>
    <w:rsid w:val="008F396F"/>
    <w:rsid w:val="008F3DCD"/>
    <w:rsid w:val="008F5842"/>
    <w:rsid w:val="008F61D2"/>
    <w:rsid w:val="00900626"/>
    <w:rsid w:val="0090271F"/>
    <w:rsid w:val="00902DB9"/>
    <w:rsid w:val="0090342B"/>
    <w:rsid w:val="0090466A"/>
    <w:rsid w:val="009060FE"/>
    <w:rsid w:val="00910695"/>
    <w:rsid w:val="00915780"/>
    <w:rsid w:val="009177C6"/>
    <w:rsid w:val="00922C43"/>
    <w:rsid w:val="00923655"/>
    <w:rsid w:val="009260E3"/>
    <w:rsid w:val="00936071"/>
    <w:rsid w:val="009376CD"/>
    <w:rsid w:val="00940212"/>
    <w:rsid w:val="009408EF"/>
    <w:rsid w:val="00941958"/>
    <w:rsid w:val="00941D54"/>
    <w:rsid w:val="00942EC2"/>
    <w:rsid w:val="009501ED"/>
    <w:rsid w:val="00954B33"/>
    <w:rsid w:val="00955D54"/>
    <w:rsid w:val="009573EE"/>
    <w:rsid w:val="00961B32"/>
    <w:rsid w:val="009623A8"/>
    <w:rsid w:val="0096248D"/>
    <w:rsid w:val="00962509"/>
    <w:rsid w:val="009648BB"/>
    <w:rsid w:val="00970DB3"/>
    <w:rsid w:val="009739ED"/>
    <w:rsid w:val="00973E8F"/>
    <w:rsid w:val="00974BB0"/>
    <w:rsid w:val="00975BCD"/>
    <w:rsid w:val="00976374"/>
    <w:rsid w:val="0098265E"/>
    <w:rsid w:val="00984FDF"/>
    <w:rsid w:val="00986656"/>
    <w:rsid w:val="009928A9"/>
    <w:rsid w:val="009933EB"/>
    <w:rsid w:val="00993C63"/>
    <w:rsid w:val="00995E76"/>
    <w:rsid w:val="009A0AF3"/>
    <w:rsid w:val="009A129D"/>
    <w:rsid w:val="009A292A"/>
    <w:rsid w:val="009A3914"/>
    <w:rsid w:val="009A4C08"/>
    <w:rsid w:val="009B07CD"/>
    <w:rsid w:val="009B3B63"/>
    <w:rsid w:val="009B4F0A"/>
    <w:rsid w:val="009B52DC"/>
    <w:rsid w:val="009B5CE8"/>
    <w:rsid w:val="009B7C0B"/>
    <w:rsid w:val="009C19E9"/>
    <w:rsid w:val="009C34E0"/>
    <w:rsid w:val="009C7966"/>
    <w:rsid w:val="009C7A7B"/>
    <w:rsid w:val="009D0CEB"/>
    <w:rsid w:val="009D47B6"/>
    <w:rsid w:val="009D5576"/>
    <w:rsid w:val="009D74A6"/>
    <w:rsid w:val="009E0E87"/>
    <w:rsid w:val="009E1652"/>
    <w:rsid w:val="009E1C39"/>
    <w:rsid w:val="009E1F21"/>
    <w:rsid w:val="009E315C"/>
    <w:rsid w:val="009E3CE7"/>
    <w:rsid w:val="009E73DB"/>
    <w:rsid w:val="009F1451"/>
    <w:rsid w:val="009F1A2A"/>
    <w:rsid w:val="009F564B"/>
    <w:rsid w:val="009F59F2"/>
    <w:rsid w:val="00A03860"/>
    <w:rsid w:val="00A1092C"/>
    <w:rsid w:val="00A10F02"/>
    <w:rsid w:val="00A110EB"/>
    <w:rsid w:val="00A13C33"/>
    <w:rsid w:val="00A14BB8"/>
    <w:rsid w:val="00A17987"/>
    <w:rsid w:val="00A17B5D"/>
    <w:rsid w:val="00A204CA"/>
    <w:rsid w:val="00A209D6"/>
    <w:rsid w:val="00A24F9C"/>
    <w:rsid w:val="00A250BE"/>
    <w:rsid w:val="00A31779"/>
    <w:rsid w:val="00A35C8B"/>
    <w:rsid w:val="00A35F2D"/>
    <w:rsid w:val="00A4002A"/>
    <w:rsid w:val="00A4165E"/>
    <w:rsid w:val="00A43D41"/>
    <w:rsid w:val="00A44D76"/>
    <w:rsid w:val="00A45700"/>
    <w:rsid w:val="00A53724"/>
    <w:rsid w:val="00A54B2B"/>
    <w:rsid w:val="00A56EAD"/>
    <w:rsid w:val="00A575E5"/>
    <w:rsid w:val="00A60574"/>
    <w:rsid w:val="00A643D3"/>
    <w:rsid w:val="00A67065"/>
    <w:rsid w:val="00A72103"/>
    <w:rsid w:val="00A750A5"/>
    <w:rsid w:val="00A81698"/>
    <w:rsid w:val="00A82346"/>
    <w:rsid w:val="00A82EC2"/>
    <w:rsid w:val="00A8347D"/>
    <w:rsid w:val="00A8369B"/>
    <w:rsid w:val="00A847E5"/>
    <w:rsid w:val="00A8511B"/>
    <w:rsid w:val="00A87A57"/>
    <w:rsid w:val="00A87CF3"/>
    <w:rsid w:val="00A90409"/>
    <w:rsid w:val="00A954E8"/>
    <w:rsid w:val="00A9671C"/>
    <w:rsid w:val="00AA0D67"/>
    <w:rsid w:val="00AA1553"/>
    <w:rsid w:val="00AA4C7B"/>
    <w:rsid w:val="00AB61D3"/>
    <w:rsid w:val="00AB66F8"/>
    <w:rsid w:val="00AC25DD"/>
    <w:rsid w:val="00AC4AA8"/>
    <w:rsid w:val="00AC4EA7"/>
    <w:rsid w:val="00AC7553"/>
    <w:rsid w:val="00AD17A9"/>
    <w:rsid w:val="00AD1EDF"/>
    <w:rsid w:val="00AD2B9B"/>
    <w:rsid w:val="00AD7ED6"/>
    <w:rsid w:val="00AE1D07"/>
    <w:rsid w:val="00AE3070"/>
    <w:rsid w:val="00AE76D1"/>
    <w:rsid w:val="00AE793B"/>
    <w:rsid w:val="00AF3F3F"/>
    <w:rsid w:val="00AF712A"/>
    <w:rsid w:val="00AF71CC"/>
    <w:rsid w:val="00AF79A9"/>
    <w:rsid w:val="00B0111E"/>
    <w:rsid w:val="00B013F1"/>
    <w:rsid w:val="00B0193E"/>
    <w:rsid w:val="00B01BDA"/>
    <w:rsid w:val="00B05380"/>
    <w:rsid w:val="00B05962"/>
    <w:rsid w:val="00B06797"/>
    <w:rsid w:val="00B07518"/>
    <w:rsid w:val="00B15449"/>
    <w:rsid w:val="00B156F4"/>
    <w:rsid w:val="00B16C2F"/>
    <w:rsid w:val="00B25535"/>
    <w:rsid w:val="00B27303"/>
    <w:rsid w:val="00B30AD0"/>
    <w:rsid w:val="00B33B2A"/>
    <w:rsid w:val="00B340BE"/>
    <w:rsid w:val="00B34CAC"/>
    <w:rsid w:val="00B35CA9"/>
    <w:rsid w:val="00B46343"/>
    <w:rsid w:val="00B46B98"/>
    <w:rsid w:val="00B47FD1"/>
    <w:rsid w:val="00B516BB"/>
    <w:rsid w:val="00B5433D"/>
    <w:rsid w:val="00B606F1"/>
    <w:rsid w:val="00B630F9"/>
    <w:rsid w:val="00B65106"/>
    <w:rsid w:val="00B6786B"/>
    <w:rsid w:val="00B7381B"/>
    <w:rsid w:val="00B755A9"/>
    <w:rsid w:val="00B77955"/>
    <w:rsid w:val="00B77AAD"/>
    <w:rsid w:val="00B84DB2"/>
    <w:rsid w:val="00B87535"/>
    <w:rsid w:val="00B93D84"/>
    <w:rsid w:val="00B94407"/>
    <w:rsid w:val="00B950E7"/>
    <w:rsid w:val="00B96F4D"/>
    <w:rsid w:val="00B970D8"/>
    <w:rsid w:val="00B9720A"/>
    <w:rsid w:val="00BA29DE"/>
    <w:rsid w:val="00BA466A"/>
    <w:rsid w:val="00BA6BA2"/>
    <w:rsid w:val="00BB1EB7"/>
    <w:rsid w:val="00BC0F40"/>
    <w:rsid w:val="00BC3555"/>
    <w:rsid w:val="00BC4132"/>
    <w:rsid w:val="00BC75FF"/>
    <w:rsid w:val="00BD4126"/>
    <w:rsid w:val="00BD61DA"/>
    <w:rsid w:val="00BD750D"/>
    <w:rsid w:val="00BE0F0E"/>
    <w:rsid w:val="00BE285F"/>
    <w:rsid w:val="00BE30F5"/>
    <w:rsid w:val="00BE54DE"/>
    <w:rsid w:val="00BE576C"/>
    <w:rsid w:val="00BF0428"/>
    <w:rsid w:val="00BF045E"/>
    <w:rsid w:val="00BF2B4F"/>
    <w:rsid w:val="00BF6A2A"/>
    <w:rsid w:val="00C022BD"/>
    <w:rsid w:val="00C04A7F"/>
    <w:rsid w:val="00C12586"/>
    <w:rsid w:val="00C12845"/>
    <w:rsid w:val="00C12B51"/>
    <w:rsid w:val="00C14657"/>
    <w:rsid w:val="00C1572A"/>
    <w:rsid w:val="00C15CB3"/>
    <w:rsid w:val="00C17475"/>
    <w:rsid w:val="00C20967"/>
    <w:rsid w:val="00C21B3E"/>
    <w:rsid w:val="00C22E81"/>
    <w:rsid w:val="00C24650"/>
    <w:rsid w:val="00C24C70"/>
    <w:rsid w:val="00C25465"/>
    <w:rsid w:val="00C25834"/>
    <w:rsid w:val="00C30378"/>
    <w:rsid w:val="00C30C47"/>
    <w:rsid w:val="00C30FDB"/>
    <w:rsid w:val="00C33079"/>
    <w:rsid w:val="00C33E61"/>
    <w:rsid w:val="00C34E0C"/>
    <w:rsid w:val="00C36B95"/>
    <w:rsid w:val="00C443E6"/>
    <w:rsid w:val="00C449D1"/>
    <w:rsid w:val="00C463F7"/>
    <w:rsid w:val="00C51814"/>
    <w:rsid w:val="00C5451F"/>
    <w:rsid w:val="00C557C9"/>
    <w:rsid w:val="00C61B8C"/>
    <w:rsid w:val="00C653D2"/>
    <w:rsid w:val="00C66063"/>
    <w:rsid w:val="00C66B66"/>
    <w:rsid w:val="00C7155B"/>
    <w:rsid w:val="00C73DAE"/>
    <w:rsid w:val="00C80964"/>
    <w:rsid w:val="00C82068"/>
    <w:rsid w:val="00C8211F"/>
    <w:rsid w:val="00C82D6E"/>
    <w:rsid w:val="00C83A13"/>
    <w:rsid w:val="00C83B14"/>
    <w:rsid w:val="00C9068C"/>
    <w:rsid w:val="00C9248E"/>
    <w:rsid w:val="00C92967"/>
    <w:rsid w:val="00C929DF"/>
    <w:rsid w:val="00C941E9"/>
    <w:rsid w:val="00CA111D"/>
    <w:rsid w:val="00CA3D0C"/>
    <w:rsid w:val="00CA654B"/>
    <w:rsid w:val="00CA7C57"/>
    <w:rsid w:val="00CB0E16"/>
    <w:rsid w:val="00CB1C77"/>
    <w:rsid w:val="00CB3534"/>
    <w:rsid w:val="00CB72B8"/>
    <w:rsid w:val="00CC668B"/>
    <w:rsid w:val="00CD1D79"/>
    <w:rsid w:val="00CD3711"/>
    <w:rsid w:val="00CD4C7B"/>
    <w:rsid w:val="00CD58FE"/>
    <w:rsid w:val="00CE1336"/>
    <w:rsid w:val="00CE1882"/>
    <w:rsid w:val="00CE4F75"/>
    <w:rsid w:val="00CE5D95"/>
    <w:rsid w:val="00CE6EF7"/>
    <w:rsid w:val="00CF6E0A"/>
    <w:rsid w:val="00CF7B0C"/>
    <w:rsid w:val="00D01FF8"/>
    <w:rsid w:val="00D103D2"/>
    <w:rsid w:val="00D12727"/>
    <w:rsid w:val="00D12A69"/>
    <w:rsid w:val="00D13EF8"/>
    <w:rsid w:val="00D23E3E"/>
    <w:rsid w:val="00D24213"/>
    <w:rsid w:val="00D26BF9"/>
    <w:rsid w:val="00D33BE3"/>
    <w:rsid w:val="00D35BBF"/>
    <w:rsid w:val="00D370AA"/>
    <w:rsid w:val="00D3792D"/>
    <w:rsid w:val="00D37A4A"/>
    <w:rsid w:val="00D410D2"/>
    <w:rsid w:val="00D41C95"/>
    <w:rsid w:val="00D41D4E"/>
    <w:rsid w:val="00D441DB"/>
    <w:rsid w:val="00D4515B"/>
    <w:rsid w:val="00D45ABD"/>
    <w:rsid w:val="00D46408"/>
    <w:rsid w:val="00D4733D"/>
    <w:rsid w:val="00D54BD9"/>
    <w:rsid w:val="00D55B50"/>
    <w:rsid w:val="00D55E47"/>
    <w:rsid w:val="00D5783E"/>
    <w:rsid w:val="00D62E19"/>
    <w:rsid w:val="00D633FA"/>
    <w:rsid w:val="00D63B71"/>
    <w:rsid w:val="00D64B64"/>
    <w:rsid w:val="00D65C82"/>
    <w:rsid w:val="00D67CD1"/>
    <w:rsid w:val="00D70CC1"/>
    <w:rsid w:val="00D718A4"/>
    <w:rsid w:val="00D738D6"/>
    <w:rsid w:val="00D80795"/>
    <w:rsid w:val="00D80B31"/>
    <w:rsid w:val="00D81D1A"/>
    <w:rsid w:val="00D854BE"/>
    <w:rsid w:val="00D861AD"/>
    <w:rsid w:val="00D87E00"/>
    <w:rsid w:val="00D9134D"/>
    <w:rsid w:val="00D96D11"/>
    <w:rsid w:val="00DA2D6E"/>
    <w:rsid w:val="00DA453A"/>
    <w:rsid w:val="00DA5722"/>
    <w:rsid w:val="00DA7A03"/>
    <w:rsid w:val="00DB07E1"/>
    <w:rsid w:val="00DB0DB8"/>
    <w:rsid w:val="00DB1818"/>
    <w:rsid w:val="00DB3BF8"/>
    <w:rsid w:val="00DB46A8"/>
    <w:rsid w:val="00DB515E"/>
    <w:rsid w:val="00DB5C12"/>
    <w:rsid w:val="00DB7B85"/>
    <w:rsid w:val="00DC00BE"/>
    <w:rsid w:val="00DC03A3"/>
    <w:rsid w:val="00DC309B"/>
    <w:rsid w:val="00DC36DE"/>
    <w:rsid w:val="00DC4DA2"/>
    <w:rsid w:val="00DC4F7B"/>
    <w:rsid w:val="00DC5261"/>
    <w:rsid w:val="00DD3983"/>
    <w:rsid w:val="00DD4A71"/>
    <w:rsid w:val="00DD4EDC"/>
    <w:rsid w:val="00DE25D2"/>
    <w:rsid w:val="00DE2BEC"/>
    <w:rsid w:val="00DE4BBC"/>
    <w:rsid w:val="00DF1F73"/>
    <w:rsid w:val="00DF2C19"/>
    <w:rsid w:val="00DF35ED"/>
    <w:rsid w:val="00DF62EF"/>
    <w:rsid w:val="00DF75D4"/>
    <w:rsid w:val="00DF77B6"/>
    <w:rsid w:val="00DF7A0C"/>
    <w:rsid w:val="00E00B5A"/>
    <w:rsid w:val="00E13EAD"/>
    <w:rsid w:val="00E1418C"/>
    <w:rsid w:val="00E17164"/>
    <w:rsid w:val="00E20C4F"/>
    <w:rsid w:val="00E22D06"/>
    <w:rsid w:val="00E25FB5"/>
    <w:rsid w:val="00E27A1D"/>
    <w:rsid w:val="00E32E39"/>
    <w:rsid w:val="00E344A6"/>
    <w:rsid w:val="00E410CB"/>
    <w:rsid w:val="00E4315D"/>
    <w:rsid w:val="00E458F0"/>
    <w:rsid w:val="00E45D56"/>
    <w:rsid w:val="00E46C08"/>
    <w:rsid w:val="00E471CF"/>
    <w:rsid w:val="00E47455"/>
    <w:rsid w:val="00E5158F"/>
    <w:rsid w:val="00E5521F"/>
    <w:rsid w:val="00E56515"/>
    <w:rsid w:val="00E60891"/>
    <w:rsid w:val="00E6133A"/>
    <w:rsid w:val="00E627A4"/>
    <w:rsid w:val="00E62835"/>
    <w:rsid w:val="00E62AE0"/>
    <w:rsid w:val="00E6692A"/>
    <w:rsid w:val="00E67D45"/>
    <w:rsid w:val="00E719A3"/>
    <w:rsid w:val="00E7492A"/>
    <w:rsid w:val="00E76469"/>
    <w:rsid w:val="00E76ABD"/>
    <w:rsid w:val="00E77645"/>
    <w:rsid w:val="00E83697"/>
    <w:rsid w:val="00E8492C"/>
    <w:rsid w:val="00E90993"/>
    <w:rsid w:val="00E90E78"/>
    <w:rsid w:val="00E91E1C"/>
    <w:rsid w:val="00E92978"/>
    <w:rsid w:val="00E94658"/>
    <w:rsid w:val="00E94D9E"/>
    <w:rsid w:val="00E97E4F"/>
    <w:rsid w:val="00EA112C"/>
    <w:rsid w:val="00EA5C79"/>
    <w:rsid w:val="00EA66C9"/>
    <w:rsid w:val="00EA6E55"/>
    <w:rsid w:val="00EB74B9"/>
    <w:rsid w:val="00EC1475"/>
    <w:rsid w:val="00EC4A25"/>
    <w:rsid w:val="00EC5F74"/>
    <w:rsid w:val="00EC78EA"/>
    <w:rsid w:val="00ED0009"/>
    <w:rsid w:val="00ED7D10"/>
    <w:rsid w:val="00EE632D"/>
    <w:rsid w:val="00EE7B16"/>
    <w:rsid w:val="00EF2C2D"/>
    <w:rsid w:val="00F01C10"/>
    <w:rsid w:val="00F025A2"/>
    <w:rsid w:val="00F036E9"/>
    <w:rsid w:val="00F07388"/>
    <w:rsid w:val="00F1040D"/>
    <w:rsid w:val="00F120CA"/>
    <w:rsid w:val="00F14C92"/>
    <w:rsid w:val="00F17EC1"/>
    <w:rsid w:val="00F2026E"/>
    <w:rsid w:val="00F20BB8"/>
    <w:rsid w:val="00F2210A"/>
    <w:rsid w:val="00F23E8D"/>
    <w:rsid w:val="00F240A0"/>
    <w:rsid w:val="00F24DAD"/>
    <w:rsid w:val="00F25176"/>
    <w:rsid w:val="00F326E3"/>
    <w:rsid w:val="00F37743"/>
    <w:rsid w:val="00F4641F"/>
    <w:rsid w:val="00F505FE"/>
    <w:rsid w:val="00F52CD0"/>
    <w:rsid w:val="00F54A3D"/>
    <w:rsid w:val="00F54CB0"/>
    <w:rsid w:val="00F550C8"/>
    <w:rsid w:val="00F56401"/>
    <w:rsid w:val="00F579CD"/>
    <w:rsid w:val="00F6221C"/>
    <w:rsid w:val="00F64FCF"/>
    <w:rsid w:val="00F65010"/>
    <w:rsid w:val="00F653B8"/>
    <w:rsid w:val="00F70386"/>
    <w:rsid w:val="00F705CB"/>
    <w:rsid w:val="00F708FF"/>
    <w:rsid w:val="00F71262"/>
    <w:rsid w:val="00F71B89"/>
    <w:rsid w:val="00F72B45"/>
    <w:rsid w:val="00F7353C"/>
    <w:rsid w:val="00F74CD1"/>
    <w:rsid w:val="00F76F8F"/>
    <w:rsid w:val="00F77E6D"/>
    <w:rsid w:val="00F804D6"/>
    <w:rsid w:val="00F9070A"/>
    <w:rsid w:val="00F90AC6"/>
    <w:rsid w:val="00F93F5B"/>
    <w:rsid w:val="00F941DF"/>
    <w:rsid w:val="00F976E4"/>
    <w:rsid w:val="00FA059A"/>
    <w:rsid w:val="00FA1266"/>
    <w:rsid w:val="00FA3058"/>
    <w:rsid w:val="00FA3601"/>
    <w:rsid w:val="00FA47DE"/>
    <w:rsid w:val="00FB0ADE"/>
    <w:rsid w:val="00FB36FA"/>
    <w:rsid w:val="00FB4D99"/>
    <w:rsid w:val="00FC1192"/>
    <w:rsid w:val="00FC4D20"/>
    <w:rsid w:val="00FD5615"/>
    <w:rsid w:val="00FD582B"/>
    <w:rsid w:val="00FE0251"/>
    <w:rsid w:val="00FE18A4"/>
    <w:rsid w:val="00FE1B4C"/>
    <w:rsid w:val="00FE251B"/>
    <w:rsid w:val="00FE32F8"/>
    <w:rsid w:val="00FF1717"/>
    <w:rsid w:val="00FF25AB"/>
    <w:rsid w:val="00FF414A"/>
    <w:rsid w:val="00FF6C1B"/>
    <w:rsid w:val="00FF72BE"/>
    <w:rsid w:val="026E29AA"/>
    <w:rsid w:val="049356AA"/>
    <w:rsid w:val="04A1FEA7"/>
    <w:rsid w:val="05E9B73E"/>
    <w:rsid w:val="063609BB"/>
    <w:rsid w:val="090D6C54"/>
    <w:rsid w:val="0D7DD2B2"/>
    <w:rsid w:val="12AE3270"/>
    <w:rsid w:val="13CBF970"/>
    <w:rsid w:val="15A210AF"/>
    <w:rsid w:val="181D2754"/>
    <w:rsid w:val="199121EB"/>
    <w:rsid w:val="1A6BF0A1"/>
    <w:rsid w:val="1FB2ECB0"/>
    <w:rsid w:val="1FBB6547"/>
    <w:rsid w:val="210970A5"/>
    <w:rsid w:val="21706C0F"/>
    <w:rsid w:val="232242B5"/>
    <w:rsid w:val="2595AC5C"/>
    <w:rsid w:val="25ABCC57"/>
    <w:rsid w:val="26094BAD"/>
    <w:rsid w:val="29D3EB72"/>
    <w:rsid w:val="2E64236A"/>
    <w:rsid w:val="2EC20626"/>
    <w:rsid w:val="2FF02A36"/>
    <w:rsid w:val="30F70658"/>
    <w:rsid w:val="323527A7"/>
    <w:rsid w:val="376ED9D0"/>
    <w:rsid w:val="3CC973EC"/>
    <w:rsid w:val="3CD05000"/>
    <w:rsid w:val="3DBEF1B4"/>
    <w:rsid w:val="3E29D97D"/>
    <w:rsid w:val="3E2A0B5C"/>
    <w:rsid w:val="3E4575E3"/>
    <w:rsid w:val="4057DFEE"/>
    <w:rsid w:val="41006DF9"/>
    <w:rsid w:val="412239CA"/>
    <w:rsid w:val="42079DD3"/>
    <w:rsid w:val="45800EF2"/>
    <w:rsid w:val="47BF7B6A"/>
    <w:rsid w:val="499F675E"/>
    <w:rsid w:val="4B3774FC"/>
    <w:rsid w:val="4B497A1C"/>
    <w:rsid w:val="4BD376AF"/>
    <w:rsid w:val="4CC193D1"/>
    <w:rsid w:val="4E2BF3EC"/>
    <w:rsid w:val="4E89FFEA"/>
    <w:rsid w:val="4EB3E218"/>
    <w:rsid w:val="4F362C7D"/>
    <w:rsid w:val="4FE74B5F"/>
    <w:rsid w:val="524682D6"/>
    <w:rsid w:val="52B8C963"/>
    <w:rsid w:val="5966DB85"/>
    <w:rsid w:val="5A121D8C"/>
    <w:rsid w:val="5BB4B06C"/>
    <w:rsid w:val="5DE91F4C"/>
    <w:rsid w:val="5E31A30B"/>
    <w:rsid w:val="615B6C92"/>
    <w:rsid w:val="61975C86"/>
    <w:rsid w:val="63E07465"/>
    <w:rsid w:val="66E18F9D"/>
    <w:rsid w:val="66EEA1BC"/>
    <w:rsid w:val="6737A2BA"/>
    <w:rsid w:val="68F27105"/>
    <w:rsid w:val="69795874"/>
    <w:rsid w:val="6A80B327"/>
    <w:rsid w:val="6AE6E21F"/>
    <w:rsid w:val="6AF1583C"/>
    <w:rsid w:val="6F78CE4A"/>
    <w:rsid w:val="72209A8F"/>
    <w:rsid w:val="7228A3B7"/>
    <w:rsid w:val="72947833"/>
    <w:rsid w:val="7518F4D1"/>
    <w:rsid w:val="758DC386"/>
    <w:rsid w:val="77511C4D"/>
    <w:rsid w:val="79847DB9"/>
    <w:rsid w:val="7A3A1966"/>
    <w:rsid w:val="7F3CE2A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69744DE5"/>
  <w15:chartTrackingRefBased/>
  <w15:docId w15:val="{6536E330-1565-40AF-9CDC-7621E26E9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94C6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basedOn w:val="Normal"/>
    <w:next w:val="Normal"/>
    <w:unhideWhenUsed/>
    <w:qFormat/>
    <w:rsid w:val="00F17EC1"/>
    <w:pPr>
      <w:spacing w:after="200"/>
    </w:pPr>
    <w:rPr>
      <w:i/>
      <w:iCs/>
      <w:color w:val="44546A" w:themeColor="text2"/>
      <w:sz w:val="18"/>
      <w:szCs w:val="18"/>
    </w:rPr>
  </w:style>
  <w:style w:type="table" w:styleId="TableGrid">
    <w:name w:val="Table Grid"/>
    <w:basedOn w:val="TableNormal"/>
    <w:uiPriority w:val="59"/>
    <w:rsid w:val="00310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10AE0"/>
    <w:pPr>
      <w:spacing w:before="100" w:beforeAutospacing="1" w:after="100" w:afterAutospacing="1"/>
    </w:pPr>
    <w:rPr>
      <w:sz w:val="24"/>
      <w:szCs w:val="24"/>
      <w:lang w:val="en-US"/>
    </w:rPr>
  </w:style>
  <w:style w:type="character" w:customStyle="1" w:styleId="normaltextrun">
    <w:name w:val="normaltextrun"/>
    <w:basedOn w:val="DefaultParagraphFont"/>
    <w:rsid w:val="00310AE0"/>
  </w:style>
  <w:style w:type="character" w:customStyle="1" w:styleId="eop">
    <w:name w:val="eop"/>
    <w:basedOn w:val="DefaultParagraphFont"/>
    <w:rsid w:val="00310AE0"/>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263C"/>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7263C"/>
    <w:rPr>
      <w:rFonts w:ascii="Calibri" w:eastAsia="Calibri" w:hAnsi="Calibri"/>
      <w:sz w:val="22"/>
      <w:szCs w:val="22"/>
      <w:lang w:val="x-none" w:eastAsia="en-US"/>
    </w:rPr>
  </w:style>
  <w:style w:type="character" w:customStyle="1" w:styleId="apple-converted-space">
    <w:name w:val="apple-converted-space"/>
    <w:basedOn w:val="DefaultParagraphFont"/>
    <w:qFormat/>
    <w:rsid w:val="0057263C"/>
  </w:style>
  <w:style w:type="paragraph" w:styleId="NormalWeb">
    <w:name w:val="Normal (Web)"/>
    <w:basedOn w:val="Normal"/>
    <w:uiPriority w:val="99"/>
    <w:unhideWhenUsed/>
    <w:rsid w:val="00E20C4F"/>
    <w:pPr>
      <w:spacing w:before="100" w:beforeAutospacing="1" w:after="100" w:afterAutospacing="1"/>
    </w:pPr>
    <w:rPr>
      <w:sz w:val="24"/>
      <w:szCs w:val="24"/>
      <w:lang w:val="en-US"/>
    </w:rPr>
  </w:style>
  <w:style w:type="character" w:styleId="CommentReference">
    <w:name w:val="annotation reference"/>
    <w:basedOn w:val="DefaultParagraphFont"/>
    <w:rsid w:val="00557CCA"/>
    <w:rPr>
      <w:sz w:val="16"/>
      <w:szCs w:val="16"/>
    </w:rPr>
  </w:style>
  <w:style w:type="paragraph" w:styleId="CommentText">
    <w:name w:val="annotation text"/>
    <w:basedOn w:val="Normal"/>
    <w:link w:val="CommentTextChar"/>
    <w:rsid w:val="00557CCA"/>
  </w:style>
  <w:style w:type="character" w:customStyle="1" w:styleId="CommentTextChar">
    <w:name w:val="Comment Text Char"/>
    <w:basedOn w:val="DefaultParagraphFont"/>
    <w:link w:val="CommentText"/>
    <w:rsid w:val="00557CCA"/>
    <w:rPr>
      <w:lang w:eastAsia="en-US"/>
    </w:rPr>
  </w:style>
  <w:style w:type="paragraph" w:styleId="CommentSubject">
    <w:name w:val="annotation subject"/>
    <w:basedOn w:val="CommentText"/>
    <w:next w:val="CommentText"/>
    <w:link w:val="CommentSubjectChar"/>
    <w:rsid w:val="00557CCA"/>
    <w:rPr>
      <w:b/>
      <w:bCs/>
    </w:rPr>
  </w:style>
  <w:style w:type="character" w:customStyle="1" w:styleId="CommentSubjectChar">
    <w:name w:val="Comment Subject Char"/>
    <w:basedOn w:val="CommentTextChar"/>
    <w:link w:val="CommentSubject"/>
    <w:rsid w:val="00557CCA"/>
    <w:rPr>
      <w:b/>
      <w:bCs/>
      <w:lang w:eastAsia="en-US"/>
    </w:rPr>
  </w:style>
  <w:style w:type="paragraph" w:customStyle="1" w:styleId="IvDbodytext">
    <w:name w:val="IvD bodytext"/>
    <w:basedOn w:val="BodyText"/>
    <w:link w:val="IvDbodytextChar"/>
    <w:qFormat/>
    <w:rsid w:val="00FE1B4C"/>
    <w:pPr>
      <w:tabs>
        <w:tab w:val="left" w:pos="2552"/>
        <w:tab w:val="left" w:pos="3856"/>
        <w:tab w:val="left" w:pos="5216"/>
        <w:tab w:val="left" w:pos="6464"/>
        <w:tab w:val="left" w:pos="7768"/>
        <w:tab w:val="left" w:pos="9072"/>
        <w:tab w:val="left" w:pos="9639"/>
      </w:tabs>
      <w:spacing w:before="240" w:after="0" w:line="259" w:lineRule="auto"/>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FE1B4C"/>
    <w:rPr>
      <w:rFonts w:ascii="Arial" w:eastAsiaTheme="minorHAnsi" w:hAnsi="Arial" w:cstheme="minorBidi"/>
      <w:spacing w:val="2"/>
      <w:sz w:val="22"/>
      <w:szCs w:val="22"/>
      <w:lang w:val="en-US" w:eastAsia="en-US"/>
    </w:rPr>
  </w:style>
  <w:style w:type="paragraph" w:styleId="BodyText">
    <w:name w:val="Body Text"/>
    <w:basedOn w:val="Normal"/>
    <w:link w:val="BodyTextChar"/>
    <w:rsid w:val="00FE1B4C"/>
    <w:pPr>
      <w:spacing w:after="120"/>
    </w:pPr>
  </w:style>
  <w:style w:type="character" w:customStyle="1" w:styleId="BodyTextChar">
    <w:name w:val="Body Text Char"/>
    <w:basedOn w:val="DefaultParagraphFont"/>
    <w:link w:val="BodyText"/>
    <w:rsid w:val="00FE1B4C"/>
    <w:rPr>
      <w:lang w:eastAsia="en-US"/>
    </w:rPr>
  </w:style>
  <w:style w:type="paragraph" w:customStyle="1" w:styleId="Agreement">
    <w:name w:val="Agreement"/>
    <w:basedOn w:val="Normal"/>
    <w:next w:val="Normal"/>
    <w:qFormat/>
    <w:rsid w:val="00A4002A"/>
    <w:pPr>
      <w:numPr>
        <w:numId w:val="29"/>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DB3B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B3BF8"/>
    <w:rPr>
      <w:rFonts w:ascii="Arial" w:eastAsia="MS Mincho" w:hAnsi="Arial"/>
      <w:szCs w:val="24"/>
    </w:rPr>
  </w:style>
  <w:style w:type="paragraph" w:customStyle="1" w:styleId="Doc-title">
    <w:name w:val="Doc-title"/>
    <w:basedOn w:val="Normal"/>
    <w:next w:val="Doc-text2"/>
    <w:link w:val="Doc-titleChar"/>
    <w:qFormat/>
    <w:rsid w:val="006355E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355E7"/>
    <w:rPr>
      <w:rFonts w:ascii="Arial" w:eastAsia="MS Mincho" w:hAnsi="Arial"/>
      <w:noProof/>
      <w:szCs w:val="24"/>
    </w:rPr>
  </w:style>
  <w:style w:type="paragraph" w:styleId="Revision">
    <w:name w:val="Revision"/>
    <w:hidden/>
    <w:uiPriority w:val="99"/>
    <w:semiHidden/>
    <w:rsid w:val="0074789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05359">
      <w:bodyDiv w:val="1"/>
      <w:marLeft w:val="0"/>
      <w:marRight w:val="0"/>
      <w:marTop w:val="0"/>
      <w:marBottom w:val="0"/>
      <w:divBdr>
        <w:top w:val="none" w:sz="0" w:space="0" w:color="auto"/>
        <w:left w:val="none" w:sz="0" w:space="0" w:color="auto"/>
        <w:bottom w:val="none" w:sz="0" w:space="0" w:color="auto"/>
        <w:right w:val="none" w:sz="0" w:space="0" w:color="auto"/>
      </w:divBdr>
      <w:divsChild>
        <w:div w:id="1194735146">
          <w:marLeft w:val="0"/>
          <w:marRight w:val="0"/>
          <w:marTop w:val="0"/>
          <w:marBottom w:val="0"/>
          <w:divBdr>
            <w:top w:val="none" w:sz="0" w:space="0" w:color="auto"/>
            <w:left w:val="none" w:sz="0" w:space="0" w:color="auto"/>
            <w:bottom w:val="none" w:sz="0" w:space="0" w:color="auto"/>
            <w:right w:val="none" w:sz="0" w:space="0" w:color="auto"/>
          </w:divBdr>
        </w:div>
        <w:div w:id="1423137370">
          <w:marLeft w:val="0"/>
          <w:marRight w:val="0"/>
          <w:marTop w:val="0"/>
          <w:marBottom w:val="0"/>
          <w:divBdr>
            <w:top w:val="none" w:sz="0" w:space="0" w:color="auto"/>
            <w:left w:val="none" w:sz="0" w:space="0" w:color="auto"/>
            <w:bottom w:val="none" w:sz="0" w:space="0" w:color="auto"/>
            <w:right w:val="none" w:sz="0" w:space="0" w:color="auto"/>
          </w:divBdr>
        </w:div>
        <w:div w:id="1434981989">
          <w:marLeft w:val="0"/>
          <w:marRight w:val="0"/>
          <w:marTop w:val="0"/>
          <w:marBottom w:val="0"/>
          <w:divBdr>
            <w:top w:val="none" w:sz="0" w:space="0" w:color="auto"/>
            <w:left w:val="none" w:sz="0" w:space="0" w:color="auto"/>
            <w:bottom w:val="none" w:sz="0" w:space="0" w:color="auto"/>
            <w:right w:val="none" w:sz="0" w:space="0" w:color="auto"/>
          </w:divBdr>
        </w:div>
        <w:div w:id="1936866609">
          <w:marLeft w:val="0"/>
          <w:marRight w:val="0"/>
          <w:marTop w:val="0"/>
          <w:marBottom w:val="0"/>
          <w:divBdr>
            <w:top w:val="none" w:sz="0" w:space="0" w:color="auto"/>
            <w:left w:val="none" w:sz="0" w:space="0" w:color="auto"/>
            <w:bottom w:val="none" w:sz="0" w:space="0" w:color="auto"/>
            <w:right w:val="none" w:sz="0" w:space="0" w:color="auto"/>
          </w:divBdr>
        </w:div>
      </w:divsChild>
    </w:div>
    <w:div w:id="149175692">
      <w:bodyDiv w:val="1"/>
      <w:marLeft w:val="0"/>
      <w:marRight w:val="0"/>
      <w:marTop w:val="0"/>
      <w:marBottom w:val="0"/>
      <w:divBdr>
        <w:top w:val="none" w:sz="0" w:space="0" w:color="auto"/>
        <w:left w:val="none" w:sz="0" w:space="0" w:color="auto"/>
        <w:bottom w:val="none" w:sz="0" w:space="0" w:color="auto"/>
        <w:right w:val="none" w:sz="0" w:space="0" w:color="auto"/>
      </w:divBdr>
    </w:div>
    <w:div w:id="347370869">
      <w:bodyDiv w:val="1"/>
      <w:marLeft w:val="0"/>
      <w:marRight w:val="0"/>
      <w:marTop w:val="0"/>
      <w:marBottom w:val="0"/>
      <w:divBdr>
        <w:top w:val="none" w:sz="0" w:space="0" w:color="auto"/>
        <w:left w:val="none" w:sz="0" w:space="0" w:color="auto"/>
        <w:bottom w:val="none" w:sz="0" w:space="0" w:color="auto"/>
        <w:right w:val="none" w:sz="0" w:space="0" w:color="auto"/>
      </w:divBdr>
    </w:div>
    <w:div w:id="425807662">
      <w:bodyDiv w:val="1"/>
      <w:marLeft w:val="0"/>
      <w:marRight w:val="0"/>
      <w:marTop w:val="0"/>
      <w:marBottom w:val="0"/>
      <w:divBdr>
        <w:top w:val="none" w:sz="0" w:space="0" w:color="auto"/>
        <w:left w:val="none" w:sz="0" w:space="0" w:color="auto"/>
        <w:bottom w:val="none" w:sz="0" w:space="0" w:color="auto"/>
        <w:right w:val="none" w:sz="0" w:space="0" w:color="auto"/>
      </w:divBdr>
      <w:divsChild>
        <w:div w:id="1135634595">
          <w:marLeft w:val="0"/>
          <w:marRight w:val="0"/>
          <w:marTop w:val="0"/>
          <w:marBottom w:val="0"/>
          <w:divBdr>
            <w:top w:val="none" w:sz="0" w:space="0" w:color="auto"/>
            <w:left w:val="none" w:sz="0" w:space="0" w:color="auto"/>
            <w:bottom w:val="none" w:sz="0" w:space="0" w:color="auto"/>
            <w:right w:val="none" w:sz="0" w:space="0" w:color="auto"/>
          </w:divBdr>
        </w:div>
        <w:div w:id="1512908560">
          <w:marLeft w:val="0"/>
          <w:marRight w:val="0"/>
          <w:marTop w:val="0"/>
          <w:marBottom w:val="0"/>
          <w:divBdr>
            <w:top w:val="none" w:sz="0" w:space="0" w:color="auto"/>
            <w:left w:val="none" w:sz="0" w:space="0" w:color="auto"/>
            <w:bottom w:val="none" w:sz="0" w:space="0" w:color="auto"/>
            <w:right w:val="none" w:sz="0" w:space="0" w:color="auto"/>
          </w:divBdr>
        </w:div>
      </w:divsChild>
    </w:div>
    <w:div w:id="451168405">
      <w:bodyDiv w:val="1"/>
      <w:marLeft w:val="0"/>
      <w:marRight w:val="0"/>
      <w:marTop w:val="0"/>
      <w:marBottom w:val="0"/>
      <w:divBdr>
        <w:top w:val="none" w:sz="0" w:space="0" w:color="auto"/>
        <w:left w:val="none" w:sz="0" w:space="0" w:color="auto"/>
        <w:bottom w:val="none" w:sz="0" w:space="0" w:color="auto"/>
        <w:right w:val="none" w:sz="0" w:space="0" w:color="auto"/>
      </w:divBdr>
      <w:divsChild>
        <w:div w:id="1000082270">
          <w:marLeft w:val="1094"/>
          <w:marRight w:val="0"/>
          <w:marTop w:val="0"/>
          <w:marBottom w:val="120"/>
          <w:divBdr>
            <w:top w:val="none" w:sz="0" w:space="0" w:color="auto"/>
            <w:left w:val="none" w:sz="0" w:space="0" w:color="auto"/>
            <w:bottom w:val="none" w:sz="0" w:space="0" w:color="auto"/>
            <w:right w:val="none" w:sz="0" w:space="0" w:color="auto"/>
          </w:divBdr>
        </w:div>
        <w:div w:id="1040711814">
          <w:marLeft w:val="1094"/>
          <w:marRight w:val="0"/>
          <w:marTop w:val="0"/>
          <w:marBottom w:val="120"/>
          <w:divBdr>
            <w:top w:val="none" w:sz="0" w:space="0" w:color="auto"/>
            <w:left w:val="none" w:sz="0" w:space="0" w:color="auto"/>
            <w:bottom w:val="none" w:sz="0" w:space="0" w:color="auto"/>
            <w:right w:val="none" w:sz="0" w:space="0" w:color="auto"/>
          </w:divBdr>
        </w:div>
        <w:div w:id="1539127783">
          <w:marLeft w:val="1094"/>
          <w:marRight w:val="0"/>
          <w:marTop w:val="0"/>
          <w:marBottom w:val="120"/>
          <w:divBdr>
            <w:top w:val="none" w:sz="0" w:space="0" w:color="auto"/>
            <w:left w:val="none" w:sz="0" w:space="0" w:color="auto"/>
            <w:bottom w:val="none" w:sz="0" w:space="0" w:color="auto"/>
            <w:right w:val="none" w:sz="0" w:space="0" w:color="auto"/>
          </w:divBdr>
        </w:div>
      </w:divsChild>
    </w:div>
    <w:div w:id="646474490">
      <w:bodyDiv w:val="1"/>
      <w:marLeft w:val="0"/>
      <w:marRight w:val="0"/>
      <w:marTop w:val="0"/>
      <w:marBottom w:val="0"/>
      <w:divBdr>
        <w:top w:val="none" w:sz="0" w:space="0" w:color="auto"/>
        <w:left w:val="none" w:sz="0" w:space="0" w:color="auto"/>
        <w:bottom w:val="none" w:sz="0" w:space="0" w:color="auto"/>
        <w:right w:val="none" w:sz="0" w:space="0" w:color="auto"/>
      </w:divBdr>
    </w:div>
    <w:div w:id="8476451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74586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5311033">
      <w:bodyDiv w:val="1"/>
      <w:marLeft w:val="0"/>
      <w:marRight w:val="0"/>
      <w:marTop w:val="0"/>
      <w:marBottom w:val="0"/>
      <w:divBdr>
        <w:top w:val="none" w:sz="0" w:space="0" w:color="auto"/>
        <w:left w:val="none" w:sz="0" w:space="0" w:color="auto"/>
        <w:bottom w:val="none" w:sz="0" w:space="0" w:color="auto"/>
        <w:right w:val="none" w:sz="0" w:space="0" w:color="auto"/>
      </w:divBdr>
      <w:divsChild>
        <w:div w:id="1584215362">
          <w:marLeft w:val="0"/>
          <w:marRight w:val="0"/>
          <w:marTop w:val="0"/>
          <w:marBottom w:val="0"/>
          <w:divBdr>
            <w:top w:val="none" w:sz="0" w:space="0" w:color="auto"/>
            <w:left w:val="none" w:sz="0" w:space="0" w:color="auto"/>
            <w:bottom w:val="none" w:sz="0" w:space="0" w:color="auto"/>
            <w:right w:val="none" w:sz="0" w:space="0" w:color="auto"/>
          </w:divBdr>
        </w:div>
      </w:divsChild>
    </w:div>
    <w:div w:id="1328440600">
      <w:bodyDiv w:val="1"/>
      <w:marLeft w:val="0"/>
      <w:marRight w:val="0"/>
      <w:marTop w:val="0"/>
      <w:marBottom w:val="0"/>
      <w:divBdr>
        <w:top w:val="none" w:sz="0" w:space="0" w:color="auto"/>
        <w:left w:val="none" w:sz="0" w:space="0" w:color="auto"/>
        <w:bottom w:val="none" w:sz="0" w:space="0" w:color="auto"/>
        <w:right w:val="none" w:sz="0" w:space="0" w:color="auto"/>
      </w:divBdr>
      <w:divsChild>
        <w:div w:id="896278153">
          <w:marLeft w:val="0"/>
          <w:marRight w:val="0"/>
          <w:marTop w:val="0"/>
          <w:marBottom w:val="0"/>
          <w:divBdr>
            <w:top w:val="none" w:sz="0" w:space="0" w:color="auto"/>
            <w:left w:val="none" w:sz="0" w:space="0" w:color="auto"/>
            <w:bottom w:val="none" w:sz="0" w:space="0" w:color="auto"/>
            <w:right w:val="none" w:sz="0" w:space="0" w:color="auto"/>
          </w:divBdr>
        </w:div>
        <w:div w:id="1818958585">
          <w:marLeft w:val="0"/>
          <w:marRight w:val="0"/>
          <w:marTop w:val="0"/>
          <w:marBottom w:val="0"/>
          <w:divBdr>
            <w:top w:val="none" w:sz="0" w:space="0" w:color="auto"/>
            <w:left w:val="none" w:sz="0" w:space="0" w:color="auto"/>
            <w:bottom w:val="none" w:sz="0" w:space="0" w:color="auto"/>
            <w:right w:val="none" w:sz="0" w:space="0" w:color="auto"/>
          </w:divBdr>
        </w:div>
        <w:div w:id="1893804264">
          <w:marLeft w:val="0"/>
          <w:marRight w:val="0"/>
          <w:marTop w:val="0"/>
          <w:marBottom w:val="0"/>
          <w:divBdr>
            <w:top w:val="none" w:sz="0" w:space="0" w:color="auto"/>
            <w:left w:val="none" w:sz="0" w:space="0" w:color="auto"/>
            <w:bottom w:val="none" w:sz="0" w:space="0" w:color="auto"/>
            <w:right w:val="none" w:sz="0" w:space="0" w:color="auto"/>
          </w:divBdr>
        </w:div>
      </w:divsChild>
    </w:div>
    <w:div w:id="1451821488">
      <w:bodyDiv w:val="1"/>
      <w:marLeft w:val="0"/>
      <w:marRight w:val="0"/>
      <w:marTop w:val="0"/>
      <w:marBottom w:val="0"/>
      <w:divBdr>
        <w:top w:val="none" w:sz="0" w:space="0" w:color="auto"/>
        <w:left w:val="none" w:sz="0" w:space="0" w:color="auto"/>
        <w:bottom w:val="none" w:sz="0" w:space="0" w:color="auto"/>
        <w:right w:val="none" w:sz="0" w:space="0" w:color="auto"/>
      </w:divBdr>
    </w:div>
    <w:div w:id="1533113549">
      <w:bodyDiv w:val="1"/>
      <w:marLeft w:val="0"/>
      <w:marRight w:val="0"/>
      <w:marTop w:val="0"/>
      <w:marBottom w:val="0"/>
      <w:divBdr>
        <w:top w:val="none" w:sz="0" w:space="0" w:color="auto"/>
        <w:left w:val="none" w:sz="0" w:space="0" w:color="auto"/>
        <w:bottom w:val="none" w:sz="0" w:space="0" w:color="auto"/>
        <w:right w:val="none" w:sz="0" w:space="0" w:color="auto"/>
      </w:divBdr>
    </w:div>
    <w:div w:id="1857622141">
      <w:bodyDiv w:val="1"/>
      <w:marLeft w:val="0"/>
      <w:marRight w:val="0"/>
      <w:marTop w:val="0"/>
      <w:marBottom w:val="0"/>
      <w:divBdr>
        <w:top w:val="none" w:sz="0" w:space="0" w:color="auto"/>
        <w:left w:val="none" w:sz="0" w:space="0" w:color="auto"/>
        <w:bottom w:val="none" w:sz="0" w:space="0" w:color="auto"/>
        <w:right w:val="none" w:sz="0" w:space="0" w:color="auto"/>
      </w:divBdr>
    </w:div>
    <w:div w:id="1864512698">
      <w:bodyDiv w:val="1"/>
      <w:marLeft w:val="0"/>
      <w:marRight w:val="0"/>
      <w:marTop w:val="0"/>
      <w:marBottom w:val="0"/>
      <w:divBdr>
        <w:top w:val="none" w:sz="0" w:space="0" w:color="auto"/>
        <w:left w:val="none" w:sz="0" w:space="0" w:color="auto"/>
        <w:bottom w:val="none" w:sz="0" w:space="0" w:color="auto"/>
        <w:right w:val="none" w:sz="0" w:space="0" w:color="auto"/>
      </w:divBdr>
      <w:divsChild>
        <w:div w:id="1289622860">
          <w:marLeft w:val="0"/>
          <w:marRight w:val="0"/>
          <w:marTop w:val="0"/>
          <w:marBottom w:val="0"/>
          <w:divBdr>
            <w:top w:val="none" w:sz="0" w:space="0" w:color="auto"/>
            <w:left w:val="none" w:sz="0" w:space="0" w:color="auto"/>
            <w:bottom w:val="none" w:sz="0" w:space="0" w:color="auto"/>
            <w:right w:val="none" w:sz="0" w:space="0" w:color="auto"/>
          </w:divBdr>
        </w:div>
        <w:div w:id="1853294832">
          <w:marLeft w:val="0"/>
          <w:marRight w:val="0"/>
          <w:marTop w:val="0"/>
          <w:marBottom w:val="0"/>
          <w:divBdr>
            <w:top w:val="none" w:sz="0" w:space="0" w:color="auto"/>
            <w:left w:val="none" w:sz="0" w:space="0" w:color="auto"/>
            <w:bottom w:val="none" w:sz="0" w:space="0" w:color="auto"/>
            <w:right w:val="none" w:sz="0" w:space="0" w:color="auto"/>
          </w:divBdr>
        </w:div>
        <w:div w:id="2124762617">
          <w:marLeft w:val="0"/>
          <w:marRight w:val="0"/>
          <w:marTop w:val="0"/>
          <w:marBottom w:val="0"/>
          <w:divBdr>
            <w:top w:val="none" w:sz="0" w:space="0" w:color="auto"/>
            <w:left w:val="none" w:sz="0" w:space="0" w:color="auto"/>
            <w:bottom w:val="none" w:sz="0" w:space="0" w:color="auto"/>
            <w:right w:val="none" w:sz="0" w:space="0" w:color="auto"/>
          </w:divBdr>
        </w:div>
      </w:divsChild>
    </w:div>
    <w:div w:id="1909803578">
      <w:bodyDiv w:val="1"/>
      <w:marLeft w:val="0"/>
      <w:marRight w:val="0"/>
      <w:marTop w:val="0"/>
      <w:marBottom w:val="0"/>
      <w:divBdr>
        <w:top w:val="none" w:sz="0" w:space="0" w:color="auto"/>
        <w:left w:val="none" w:sz="0" w:space="0" w:color="auto"/>
        <w:bottom w:val="none" w:sz="0" w:space="0" w:color="auto"/>
        <w:right w:val="none" w:sz="0" w:space="0" w:color="auto"/>
      </w:divBdr>
      <w:divsChild>
        <w:div w:id="304048096">
          <w:marLeft w:val="0"/>
          <w:marRight w:val="0"/>
          <w:marTop w:val="0"/>
          <w:marBottom w:val="0"/>
          <w:divBdr>
            <w:top w:val="none" w:sz="0" w:space="0" w:color="auto"/>
            <w:left w:val="none" w:sz="0" w:space="0" w:color="auto"/>
            <w:bottom w:val="none" w:sz="0" w:space="0" w:color="auto"/>
            <w:right w:val="none" w:sz="0" w:space="0" w:color="auto"/>
          </w:divBdr>
        </w:div>
        <w:div w:id="412170814">
          <w:marLeft w:val="0"/>
          <w:marRight w:val="0"/>
          <w:marTop w:val="0"/>
          <w:marBottom w:val="0"/>
          <w:divBdr>
            <w:top w:val="none" w:sz="0" w:space="0" w:color="auto"/>
            <w:left w:val="none" w:sz="0" w:space="0" w:color="auto"/>
            <w:bottom w:val="none" w:sz="0" w:space="0" w:color="auto"/>
            <w:right w:val="none" w:sz="0" w:space="0" w:color="auto"/>
          </w:divBdr>
        </w:div>
        <w:div w:id="1758135050">
          <w:marLeft w:val="0"/>
          <w:marRight w:val="0"/>
          <w:marTop w:val="0"/>
          <w:marBottom w:val="0"/>
          <w:divBdr>
            <w:top w:val="none" w:sz="0" w:space="0" w:color="auto"/>
            <w:left w:val="none" w:sz="0" w:space="0" w:color="auto"/>
            <w:bottom w:val="none" w:sz="0" w:space="0" w:color="auto"/>
            <w:right w:val="none" w:sz="0" w:space="0" w:color="auto"/>
          </w:divBdr>
        </w:div>
        <w:div w:id="2127456988">
          <w:marLeft w:val="0"/>
          <w:marRight w:val="0"/>
          <w:marTop w:val="0"/>
          <w:marBottom w:val="0"/>
          <w:divBdr>
            <w:top w:val="none" w:sz="0" w:space="0" w:color="auto"/>
            <w:left w:val="none" w:sz="0" w:space="0" w:color="auto"/>
            <w:bottom w:val="none" w:sz="0" w:space="0" w:color="auto"/>
            <w:right w:val="none" w:sz="0" w:space="0" w:color="auto"/>
          </w:divBdr>
        </w:div>
      </w:divsChild>
    </w:div>
    <w:div w:id="207292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Meetings_3GPP_SYNC/RAN/Inbox/RP-19324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5AIRPNAIUNRU-859666464-7065</_dlc_DocId>
    <_dlc_DocIdUrl xmlns="71c5aaf6-e6ce-465b-b873-5148d2a4c105">
      <Url>https://nokia.sharepoint.com/sites/c5g/e2earch/_layouts/15/DocIdRedir.aspx?ID=5AIRPNAIUNRU-859666464-7065</Url>
      <Description>5AIRPNAIUNRU-859666464-7065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02801C86-0E1F-4791-9D81-117823529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D6AC9A-9DA8-4DFF-9947-5309BB5F0F5D}">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3GPP%20TDoc.dot</Template>
  <TotalTime>96</TotalTime>
  <Pages>1</Pages>
  <Words>3330</Words>
  <Characters>18982</Characters>
  <Application>Microsoft Office Word</Application>
  <DocSecurity>4</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329</cp:revision>
  <dcterms:created xsi:type="dcterms:W3CDTF">2020-06-30T20:58:00Z</dcterms:created>
  <dcterms:modified xsi:type="dcterms:W3CDTF">2020-08-06T15:27:00Z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33df021f-252e-488e-b986-cc9d4e8d0ede</vt:lpwstr>
  </property>
</Properties>
</file>